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830BA" w14:textId="5D285519" w:rsidR="00C26914" w:rsidRPr="00504C72" w:rsidRDefault="00504C72" w:rsidP="00504C72">
      <w:pPr>
        <w:jc w:val="center"/>
        <w:rPr>
          <w:b/>
          <w:color w:val="2E74B5" w:themeColor="accent5" w:themeShade="BF"/>
          <w:sz w:val="28"/>
        </w:rPr>
      </w:pPr>
      <w:r w:rsidRPr="00504C72">
        <w:rPr>
          <w:b/>
          <w:color w:val="2E74B5" w:themeColor="accent5" w:themeShade="BF"/>
          <w:sz w:val="28"/>
        </w:rPr>
        <w:t>Field Assessment in Target Areas 2023</w:t>
      </w:r>
    </w:p>
    <w:p w14:paraId="52EFDB0A" w14:textId="56B2E3C0" w:rsidR="00504C72" w:rsidRDefault="00504C72" w:rsidP="00504C72">
      <w:pPr>
        <w:jc w:val="center"/>
      </w:pPr>
    </w:p>
    <w:tbl>
      <w:tblPr>
        <w:tblStyle w:val="TableGrid"/>
        <w:tblW w:w="9192" w:type="dxa"/>
        <w:tblInd w:w="-10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07" w:type="dxa"/>
        </w:tblCellMar>
        <w:tblLook w:val="04A0" w:firstRow="1" w:lastRow="0" w:firstColumn="1" w:lastColumn="0" w:noHBand="0" w:noVBand="1"/>
      </w:tblPr>
      <w:tblGrid>
        <w:gridCol w:w="1697"/>
        <w:gridCol w:w="7495"/>
      </w:tblGrid>
      <w:tr w:rsidR="00504C72" w:rsidRPr="00116E99" w14:paraId="6A335FFE" w14:textId="77777777" w:rsidTr="003616F9">
        <w:trPr>
          <w:trHeight w:val="885"/>
        </w:trPr>
        <w:tc>
          <w:tcPr>
            <w:tcW w:w="1697" w:type="dxa"/>
            <w:vAlign w:val="center"/>
          </w:tcPr>
          <w:p w14:paraId="29E159C5" w14:textId="77777777" w:rsidR="00504C72" w:rsidRPr="00386545" w:rsidRDefault="00504C72" w:rsidP="003616F9">
            <w:pPr>
              <w:rPr>
                <w:color w:val="000000" w:themeColor="text1"/>
              </w:rPr>
            </w:pPr>
            <w:r w:rsidRPr="00386545">
              <w:rPr>
                <w:rFonts w:ascii="Arial" w:eastAsia="Arial" w:hAnsi="Arial" w:cs="Arial"/>
                <w:b/>
                <w:color w:val="000000" w:themeColor="text1"/>
              </w:rPr>
              <w:t xml:space="preserve">Short Description of </w:t>
            </w:r>
          </w:p>
          <w:p w14:paraId="453D9130" w14:textId="77777777" w:rsidR="00504C72" w:rsidRPr="00386545" w:rsidRDefault="00504C72" w:rsidP="003616F9">
            <w:pPr>
              <w:rPr>
                <w:color w:val="000000" w:themeColor="text1"/>
              </w:rPr>
            </w:pPr>
            <w:r w:rsidRPr="00386545">
              <w:rPr>
                <w:rFonts w:ascii="Arial" w:eastAsia="Arial" w:hAnsi="Arial" w:cs="Arial"/>
                <w:b/>
                <w:color w:val="000000" w:themeColor="text1"/>
              </w:rPr>
              <w:t xml:space="preserve">Overall Project Purpose </w:t>
            </w:r>
          </w:p>
        </w:tc>
        <w:tc>
          <w:tcPr>
            <w:tcW w:w="7495" w:type="dxa"/>
          </w:tcPr>
          <w:p w14:paraId="65F7C83C" w14:textId="77777777" w:rsidR="00504C72" w:rsidRPr="00386545" w:rsidRDefault="00504C72" w:rsidP="003616F9">
            <w:pPr>
              <w:jc w:val="both"/>
              <w:rPr>
                <w:rFonts w:ascii="Arial" w:eastAsia="Arial" w:hAnsi="Arial" w:cs="Arial"/>
                <w:iCs/>
                <w:color w:val="000000" w:themeColor="text1"/>
                <w:sz w:val="20"/>
                <w:szCs w:val="20"/>
              </w:rPr>
            </w:pPr>
            <w:r w:rsidRPr="00386545">
              <w:rPr>
                <w:rFonts w:ascii="Arial" w:eastAsia="Arial" w:hAnsi="Arial" w:cs="Arial"/>
                <w:iCs/>
                <w:color w:val="000000" w:themeColor="text1"/>
                <w:sz w:val="20"/>
                <w:szCs w:val="20"/>
              </w:rPr>
              <w:t>“</w:t>
            </w:r>
            <w:proofErr w:type="spellStart"/>
            <w:r w:rsidRPr="00386545">
              <w:rPr>
                <w:rFonts w:ascii="Arial" w:eastAsia="Arial" w:hAnsi="Arial" w:cs="Arial"/>
                <w:iCs/>
                <w:color w:val="000000" w:themeColor="text1"/>
                <w:sz w:val="20"/>
                <w:szCs w:val="20"/>
              </w:rPr>
              <w:t>Umid</w:t>
            </w:r>
            <w:proofErr w:type="spellEnd"/>
            <w:r w:rsidRPr="00386545">
              <w:rPr>
                <w:rFonts w:ascii="Arial" w:eastAsia="Arial" w:hAnsi="Arial" w:cs="Arial"/>
                <w:iCs/>
                <w:color w:val="000000" w:themeColor="text1"/>
                <w:sz w:val="20"/>
                <w:szCs w:val="20"/>
              </w:rPr>
              <w:t>” Support to Social Development Public Union (referred to as “</w:t>
            </w:r>
            <w:proofErr w:type="spellStart"/>
            <w:r w:rsidRPr="00386545">
              <w:rPr>
                <w:rFonts w:ascii="Arial" w:eastAsia="Arial" w:hAnsi="Arial" w:cs="Arial"/>
                <w:iCs/>
                <w:color w:val="000000" w:themeColor="text1"/>
                <w:sz w:val="20"/>
                <w:szCs w:val="20"/>
              </w:rPr>
              <w:t>Umid</w:t>
            </w:r>
            <w:proofErr w:type="spellEnd"/>
            <w:r w:rsidRPr="00386545">
              <w:rPr>
                <w:rFonts w:ascii="Arial" w:eastAsia="Arial" w:hAnsi="Arial" w:cs="Arial"/>
                <w:iCs/>
                <w:color w:val="000000" w:themeColor="text1"/>
                <w:sz w:val="20"/>
                <w:szCs w:val="20"/>
              </w:rPr>
              <w:t>”) has undertaken thorough research in four areas to facilitate the preparation of the presented project. These areas of focus include:</w:t>
            </w:r>
          </w:p>
          <w:p w14:paraId="6DC991EA" w14:textId="77777777" w:rsidR="00504C72" w:rsidRPr="00386545" w:rsidRDefault="00504C72" w:rsidP="003616F9">
            <w:pPr>
              <w:ind w:left="27"/>
              <w:jc w:val="both"/>
              <w:rPr>
                <w:rFonts w:ascii="Arial" w:eastAsia="Arial" w:hAnsi="Arial" w:cs="Arial"/>
                <w:iCs/>
                <w:color w:val="000000" w:themeColor="text1"/>
                <w:sz w:val="20"/>
                <w:szCs w:val="20"/>
                <w:lang w:val="az-Latn-AZ"/>
              </w:rPr>
            </w:pPr>
            <w:proofErr w:type="spellStart"/>
            <w:r w:rsidRPr="00386545">
              <w:rPr>
                <w:rFonts w:ascii="Arial" w:eastAsia="Arial" w:hAnsi="Arial" w:cs="Arial"/>
                <w:b/>
                <w:iCs/>
                <w:color w:val="000000" w:themeColor="text1"/>
                <w:sz w:val="20"/>
                <w:szCs w:val="20"/>
              </w:rPr>
              <w:t>i</w:t>
            </w:r>
            <w:proofErr w:type="spellEnd"/>
            <w:r w:rsidRPr="00386545">
              <w:rPr>
                <w:rFonts w:ascii="Arial" w:eastAsia="Arial" w:hAnsi="Arial" w:cs="Arial"/>
                <w:b/>
                <w:iCs/>
                <w:color w:val="000000" w:themeColor="text1"/>
                <w:sz w:val="20"/>
                <w:szCs w:val="20"/>
              </w:rPr>
              <w:t>)</w:t>
            </w:r>
            <w:r w:rsidRPr="00386545">
              <w:rPr>
                <w:rFonts w:ascii="Arial" w:eastAsia="Arial" w:hAnsi="Arial" w:cs="Arial"/>
                <w:iCs/>
                <w:color w:val="000000" w:themeColor="text1"/>
                <w:sz w:val="20"/>
                <w:szCs w:val="20"/>
              </w:rPr>
              <w:t xml:space="preserve"> Conducting an in-depth analysis of the policy documents and government programs, specifically aimed at ensuring the efficient utilization of water resources across the country.</w:t>
            </w:r>
            <w:r w:rsidRPr="00386545">
              <w:rPr>
                <w:rFonts w:ascii="Arial" w:eastAsia="Times New Roman" w:hAnsi="Arial" w:cs="Arial"/>
                <w:color w:val="000000" w:themeColor="text1"/>
                <w:sz w:val="20"/>
                <w:szCs w:val="20"/>
                <w:lang w:val="az-Latn-AZ"/>
              </w:rPr>
              <w:t xml:space="preserve"> In order to ensure the stability, efficiency, and safety of water use in Azerbaijan, several important policy documents have been recently prepared and implemented. These include a) the Decree of the President of the Republic of Azerbaijan on July 27, 2020, which outlines additional measures aimed at ensuring the efficient use of water resources (https://e-qanun.az/framework/45487); b) the National Water Strategy project in Azerbaijan, which is based on various conventions and principles of the United Nations (UN) and the European Union (EU) on the integrated management of water resources in the country; c) the Decree on the creation of the Azerbaijan State Water Resources Agency, which involves the consolidation of various state institutions responsible for water-related issues (https://president.az/az/articles/view/59268).</w:t>
            </w:r>
          </w:p>
          <w:p w14:paraId="68EFC254" w14:textId="77777777" w:rsidR="00504C72" w:rsidRPr="00386545" w:rsidRDefault="00504C72" w:rsidP="003616F9">
            <w:pPr>
              <w:jc w:val="both"/>
              <w:rPr>
                <w:rFonts w:ascii="Arial" w:eastAsia="Arial" w:hAnsi="Arial" w:cs="Arial"/>
                <w:iCs/>
                <w:color w:val="000000" w:themeColor="text1"/>
                <w:sz w:val="20"/>
                <w:lang w:val="az-Latn-AZ"/>
              </w:rPr>
            </w:pPr>
            <w:r w:rsidRPr="00386545">
              <w:rPr>
                <w:rFonts w:ascii="Arial" w:eastAsia="Arial" w:hAnsi="Arial" w:cs="Arial"/>
                <w:b/>
                <w:iCs/>
                <w:color w:val="000000" w:themeColor="text1"/>
                <w:sz w:val="20"/>
                <w:szCs w:val="20"/>
                <w:lang w:val="az-Latn-AZ"/>
              </w:rPr>
              <w:t>ii)</w:t>
            </w:r>
            <w:r w:rsidRPr="00386545">
              <w:rPr>
                <w:rFonts w:ascii="Arial" w:eastAsia="Arial" w:hAnsi="Arial" w:cs="Arial"/>
                <w:iCs/>
                <w:color w:val="000000" w:themeColor="text1"/>
                <w:sz w:val="20"/>
                <w:szCs w:val="20"/>
                <w:lang w:val="az-Latn-AZ"/>
              </w:rPr>
              <w:t xml:space="preserve"> Assessing the current state of water resources in Azerbaijan, and making projections for the year 2040 using the World Resources Institute's Aqueduct Global Water Risk Atlas. Notably, the analysis has identified regions with higher risk indicators, which are outlined in the table below:</w:t>
            </w:r>
            <w:r w:rsidRPr="00386545">
              <w:rPr>
                <w:rFonts w:ascii="Arial" w:eastAsia="Arial" w:hAnsi="Arial" w:cs="Arial"/>
                <w:iCs/>
                <w:color w:val="000000" w:themeColor="text1"/>
                <w:sz w:val="20"/>
                <w:lang w:val="az-Latn-AZ"/>
              </w:rPr>
              <w:t xml:space="preserve">   </w:t>
            </w:r>
          </w:p>
          <w:tbl>
            <w:tblPr>
              <w:tblStyle w:val="TableGrid0"/>
              <w:tblW w:w="7105" w:type="dxa"/>
              <w:tblLook w:val="04A0" w:firstRow="1" w:lastRow="0" w:firstColumn="1" w:lastColumn="0" w:noHBand="0" w:noVBand="1"/>
            </w:tblPr>
            <w:tblGrid>
              <w:gridCol w:w="1885"/>
              <w:gridCol w:w="1800"/>
              <w:gridCol w:w="1710"/>
              <w:gridCol w:w="1710"/>
            </w:tblGrid>
            <w:tr w:rsidR="00386545" w:rsidRPr="00386545" w14:paraId="2CECC397" w14:textId="77777777" w:rsidTr="003616F9">
              <w:trPr>
                <w:trHeight w:val="252"/>
              </w:trPr>
              <w:tc>
                <w:tcPr>
                  <w:tcW w:w="1885" w:type="dxa"/>
                </w:tcPr>
                <w:p w14:paraId="50FF0853" w14:textId="77777777" w:rsidR="00504C72" w:rsidRPr="00386545" w:rsidRDefault="00504C72" w:rsidP="003616F9">
                  <w:pPr>
                    <w:rPr>
                      <w:rFonts w:ascii="Arial" w:eastAsia="Arial" w:hAnsi="Arial" w:cs="Arial"/>
                      <w:b/>
                      <w:iCs/>
                      <w:color w:val="000000" w:themeColor="text1"/>
                      <w:sz w:val="20"/>
                      <w:szCs w:val="20"/>
                    </w:rPr>
                  </w:pPr>
                  <w:r w:rsidRPr="00386545">
                    <w:rPr>
                      <w:rFonts w:ascii="Arial" w:eastAsia="Arial" w:hAnsi="Arial" w:cs="Arial"/>
                      <w:b/>
                      <w:iCs/>
                      <w:color w:val="000000" w:themeColor="text1"/>
                      <w:sz w:val="20"/>
                      <w:szCs w:val="20"/>
                    </w:rPr>
                    <w:t>Geographical Region</w:t>
                  </w:r>
                </w:p>
              </w:tc>
              <w:tc>
                <w:tcPr>
                  <w:tcW w:w="1800" w:type="dxa"/>
                </w:tcPr>
                <w:p w14:paraId="62EF4300" w14:textId="77777777" w:rsidR="00504C72" w:rsidRPr="00386545" w:rsidRDefault="00504C72" w:rsidP="003616F9">
                  <w:pPr>
                    <w:rPr>
                      <w:rFonts w:ascii="Arial" w:eastAsia="Arial" w:hAnsi="Arial" w:cs="Arial"/>
                      <w:b/>
                      <w:iCs/>
                      <w:color w:val="000000" w:themeColor="text1"/>
                      <w:sz w:val="20"/>
                      <w:szCs w:val="20"/>
                    </w:rPr>
                  </w:pPr>
                  <w:r w:rsidRPr="00386545">
                    <w:rPr>
                      <w:rFonts w:ascii="Arial" w:eastAsia="Arial" w:hAnsi="Arial" w:cs="Arial"/>
                      <w:b/>
                      <w:iCs/>
                      <w:color w:val="000000" w:themeColor="text1"/>
                      <w:sz w:val="20"/>
                      <w:szCs w:val="20"/>
                    </w:rPr>
                    <w:t>Overall Water Risk Indicator (Current)</w:t>
                  </w:r>
                </w:p>
              </w:tc>
              <w:tc>
                <w:tcPr>
                  <w:tcW w:w="1710" w:type="dxa"/>
                </w:tcPr>
                <w:p w14:paraId="0FEA3197" w14:textId="77777777" w:rsidR="00504C72" w:rsidRPr="00386545" w:rsidRDefault="00504C72" w:rsidP="003616F9">
                  <w:pPr>
                    <w:rPr>
                      <w:rFonts w:ascii="Arial" w:eastAsia="Arial" w:hAnsi="Arial" w:cs="Arial"/>
                      <w:b/>
                      <w:iCs/>
                      <w:color w:val="000000" w:themeColor="text1"/>
                      <w:sz w:val="20"/>
                      <w:szCs w:val="20"/>
                    </w:rPr>
                  </w:pPr>
                  <w:r w:rsidRPr="00386545">
                    <w:rPr>
                      <w:rFonts w:ascii="Arial" w:eastAsia="Arial" w:hAnsi="Arial" w:cs="Arial"/>
                      <w:b/>
                      <w:iCs/>
                      <w:color w:val="000000" w:themeColor="text1"/>
                      <w:sz w:val="20"/>
                      <w:szCs w:val="20"/>
                    </w:rPr>
                    <w:t>Water Stress Indicator (2030)</w:t>
                  </w:r>
                </w:p>
              </w:tc>
              <w:tc>
                <w:tcPr>
                  <w:tcW w:w="1710" w:type="dxa"/>
                </w:tcPr>
                <w:p w14:paraId="267D387C" w14:textId="77777777" w:rsidR="00504C72" w:rsidRPr="00386545" w:rsidRDefault="00504C72" w:rsidP="003616F9">
                  <w:pPr>
                    <w:rPr>
                      <w:rFonts w:ascii="Arial" w:eastAsia="Arial" w:hAnsi="Arial" w:cs="Arial"/>
                      <w:b/>
                      <w:iCs/>
                      <w:color w:val="000000" w:themeColor="text1"/>
                      <w:sz w:val="20"/>
                      <w:szCs w:val="20"/>
                    </w:rPr>
                  </w:pPr>
                  <w:r w:rsidRPr="00386545">
                    <w:rPr>
                      <w:rFonts w:ascii="Arial" w:eastAsia="Arial" w:hAnsi="Arial" w:cs="Arial"/>
                      <w:b/>
                      <w:iCs/>
                      <w:color w:val="000000" w:themeColor="text1"/>
                      <w:sz w:val="20"/>
                      <w:szCs w:val="20"/>
                    </w:rPr>
                    <w:t>Water Stress Indicator (2040)</w:t>
                  </w:r>
                </w:p>
              </w:tc>
            </w:tr>
            <w:tr w:rsidR="00386545" w:rsidRPr="00386545" w14:paraId="36554946" w14:textId="77777777" w:rsidTr="003616F9">
              <w:trPr>
                <w:trHeight w:val="252"/>
              </w:trPr>
              <w:tc>
                <w:tcPr>
                  <w:tcW w:w="1885" w:type="dxa"/>
                </w:tcPr>
                <w:p w14:paraId="121849D5"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Guba-</w:t>
                  </w:r>
                  <w:proofErr w:type="spellStart"/>
                  <w:r w:rsidRPr="00386545">
                    <w:rPr>
                      <w:rFonts w:ascii="Arial" w:hAnsi="Arial" w:cs="Arial"/>
                      <w:color w:val="000000" w:themeColor="text1"/>
                      <w:sz w:val="20"/>
                      <w:szCs w:val="20"/>
                    </w:rPr>
                    <w:t>Khachmaz</w:t>
                  </w:r>
                  <w:proofErr w:type="spellEnd"/>
                </w:p>
              </w:tc>
              <w:tc>
                <w:tcPr>
                  <w:tcW w:w="1800" w:type="dxa"/>
                </w:tcPr>
                <w:p w14:paraId="48D518EA"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High (3-4)</w:t>
                  </w:r>
                </w:p>
              </w:tc>
              <w:tc>
                <w:tcPr>
                  <w:tcW w:w="1710" w:type="dxa"/>
                </w:tcPr>
                <w:p w14:paraId="3229AD1D"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Extremely High (&gt;80%)</w:t>
                  </w:r>
                </w:p>
              </w:tc>
              <w:tc>
                <w:tcPr>
                  <w:tcW w:w="1710" w:type="dxa"/>
                </w:tcPr>
                <w:p w14:paraId="03E2FECA"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Extremely High (&gt;80%)</w:t>
                  </w:r>
                </w:p>
              </w:tc>
            </w:tr>
            <w:tr w:rsidR="00386545" w:rsidRPr="00386545" w14:paraId="2B382FDB" w14:textId="77777777" w:rsidTr="003616F9">
              <w:trPr>
                <w:trHeight w:val="252"/>
              </w:trPr>
              <w:tc>
                <w:tcPr>
                  <w:tcW w:w="1885" w:type="dxa"/>
                </w:tcPr>
                <w:p w14:paraId="00E8DD9F"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Central Aran</w:t>
                  </w:r>
                </w:p>
              </w:tc>
              <w:tc>
                <w:tcPr>
                  <w:tcW w:w="1800" w:type="dxa"/>
                </w:tcPr>
                <w:p w14:paraId="008AD26A"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High (3-4)</w:t>
                  </w:r>
                </w:p>
              </w:tc>
              <w:tc>
                <w:tcPr>
                  <w:tcW w:w="1710" w:type="dxa"/>
                </w:tcPr>
                <w:p w14:paraId="68B6E215" w14:textId="77777777" w:rsidR="00504C72" w:rsidRPr="00386545" w:rsidRDefault="00504C72" w:rsidP="003616F9">
                  <w:pPr>
                    <w:rPr>
                      <w:rFonts w:ascii="Arial" w:eastAsia="Arial" w:hAnsi="Arial" w:cs="Arial"/>
                      <w:iCs/>
                      <w:color w:val="000000" w:themeColor="text1"/>
                      <w:sz w:val="20"/>
                      <w:szCs w:val="20"/>
                    </w:rPr>
                  </w:pPr>
                  <w:r w:rsidRPr="00386545">
                    <w:rPr>
                      <w:rFonts w:ascii="Arial" w:hAnsi="Arial" w:cs="Arial"/>
                      <w:color w:val="000000" w:themeColor="text1"/>
                      <w:sz w:val="20"/>
                      <w:szCs w:val="20"/>
                    </w:rPr>
                    <w:t>Extremely High (&gt;80%)</w:t>
                  </w:r>
                </w:p>
              </w:tc>
              <w:tc>
                <w:tcPr>
                  <w:tcW w:w="1710" w:type="dxa"/>
                </w:tcPr>
                <w:p w14:paraId="4B0C2019" w14:textId="77777777" w:rsidR="00504C72" w:rsidRPr="00386545" w:rsidRDefault="00504C72" w:rsidP="003616F9">
                  <w:pPr>
                    <w:rPr>
                      <w:rFonts w:ascii="Arial" w:eastAsia="Arial" w:hAnsi="Arial" w:cs="Arial"/>
                      <w:iCs/>
                      <w:color w:val="000000" w:themeColor="text1"/>
                      <w:sz w:val="20"/>
                      <w:szCs w:val="20"/>
                    </w:rPr>
                  </w:pPr>
                  <w:r w:rsidRPr="00386545">
                    <w:rPr>
                      <w:rFonts w:ascii="Arial" w:eastAsia="Arial" w:hAnsi="Arial" w:cs="Arial"/>
                      <w:iCs/>
                      <w:color w:val="000000" w:themeColor="text1"/>
                      <w:sz w:val="20"/>
                      <w:szCs w:val="20"/>
                    </w:rPr>
                    <w:t>Extremely High (&gt;80%)</w:t>
                  </w:r>
                </w:p>
              </w:tc>
            </w:tr>
            <w:tr w:rsidR="00386545" w:rsidRPr="00386545" w14:paraId="0E4857D0" w14:textId="77777777" w:rsidTr="003616F9">
              <w:trPr>
                <w:trHeight w:val="252"/>
              </w:trPr>
              <w:tc>
                <w:tcPr>
                  <w:tcW w:w="1885" w:type="dxa"/>
                </w:tcPr>
                <w:p w14:paraId="2590B70E" w14:textId="77777777" w:rsidR="00504C72" w:rsidRPr="00386545" w:rsidRDefault="00504C72" w:rsidP="003616F9">
                  <w:pPr>
                    <w:rPr>
                      <w:rFonts w:ascii="Arial" w:hAnsi="Arial" w:cs="Arial"/>
                      <w:color w:val="000000" w:themeColor="text1"/>
                      <w:sz w:val="20"/>
                      <w:szCs w:val="20"/>
                    </w:rPr>
                  </w:pPr>
                  <w:r w:rsidRPr="00386545">
                    <w:rPr>
                      <w:rFonts w:ascii="Arial" w:hAnsi="Arial" w:cs="Arial"/>
                      <w:color w:val="000000" w:themeColor="text1"/>
                      <w:sz w:val="20"/>
                      <w:szCs w:val="20"/>
                    </w:rPr>
                    <w:t xml:space="preserve">Mountainous </w:t>
                  </w:r>
                  <w:proofErr w:type="spellStart"/>
                  <w:r w:rsidRPr="00386545">
                    <w:rPr>
                      <w:rFonts w:ascii="Arial" w:hAnsi="Arial" w:cs="Arial"/>
                      <w:color w:val="000000" w:themeColor="text1"/>
                      <w:sz w:val="20"/>
                      <w:szCs w:val="20"/>
                    </w:rPr>
                    <w:t>Shirvan</w:t>
                  </w:r>
                  <w:proofErr w:type="spellEnd"/>
                  <w:r w:rsidRPr="00386545">
                    <w:rPr>
                      <w:rFonts w:ascii="Arial" w:hAnsi="Arial" w:cs="Arial"/>
                      <w:color w:val="000000" w:themeColor="text1"/>
                      <w:sz w:val="20"/>
                      <w:szCs w:val="20"/>
                    </w:rPr>
                    <w:t xml:space="preserve"> </w:t>
                  </w:r>
                </w:p>
              </w:tc>
              <w:tc>
                <w:tcPr>
                  <w:tcW w:w="1800" w:type="dxa"/>
                </w:tcPr>
                <w:p w14:paraId="3BCB6D67" w14:textId="77777777" w:rsidR="00504C72" w:rsidRPr="00386545" w:rsidRDefault="00504C72" w:rsidP="003616F9">
                  <w:pPr>
                    <w:rPr>
                      <w:rFonts w:ascii="Arial" w:hAnsi="Arial" w:cs="Arial"/>
                      <w:color w:val="000000" w:themeColor="text1"/>
                      <w:sz w:val="20"/>
                      <w:szCs w:val="20"/>
                    </w:rPr>
                  </w:pPr>
                  <w:r w:rsidRPr="00386545">
                    <w:rPr>
                      <w:rFonts w:ascii="Arial" w:hAnsi="Arial" w:cs="Arial"/>
                      <w:color w:val="000000" w:themeColor="text1"/>
                      <w:sz w:val="20"/>
                      <w:szCs w:val="20"/>
                    </w:rPr>
                    <w:t>Extremely High (4-5)</w:t>
                  </w:r>
                </w:p>
              </w:tc>
              <w:tc>
                <w:tcPr>
                  <w:tcW w:w="1710" w:type="dxa"/>
                </w:tcPr>
                <w:p w14:paraId="0630CFAE" w14:textId="77777777" w:rsidR="00504C72" w:rsidRPr="00386545" w:rsidRDefault="00504C72" w:rsidP="003616F9">
                  <w:pPr>
                    <w:rPr>
                      <w:rFonts w:ascii="Arial" w:hAnsi="Arial" w:cs="Arial"/>
                      <w:color w:val="000000" w:themeColor="text1"/>
                      <w:sz w:val="20"/>
                      <w:szCs w:val="20"/>
                    </w:rPr>
                  </w:pPr>
                  <w:r w:rsidRPr="00386545">
                    <w:rPr>
                      <w:rFonts w:ascii="Arial" w:hAnsi="Arial" w:cs="Arial"/>
                      <w:color w:val="000000" w:themeColor="text1"/>
                      <w:sz w:val="20"/>
                      <w:szCs w:val="20"/>
                    </w:rPr>
                    <w:t>Extremely high (&gt;80%)</w:t>
                  </w:r>
                </w:p>
              </w:tc>
              <w:tc>
                <w:tcPr>
                  <w:tcW w:w="1710" w:type="dxa"/>
                </w:tcPr>
                <w:p w14:paraId="199BEFB9" w14:textId="77777777" w:rsidR="00504C72" w:rsidRPr="00386545" w:rsidRDefault="00504C72" w:rsidP="003616F9">
                  <w:pPr>
                    <w:rPr>
                      <w:rFonts w:ascii="Arial" w:eastAsia="Arial" w:hAnsi="Arial" w:cs="Arial"/>
                      <w:iCs/>
                      <w:color w:val="000000" w:themeColor="text1"/>
                      <w:sz w:val="20"/>
                      <w:szCs w:val="20"/>
                    </w:rPr>
                  </w:pPr>
                  <w:r w:rsidRPr="00386545">
                    <w:rPr>
                      <w:rFonts w:ascii="Arial" w:eastAsia="Arial" w:hAnsi="Arial" w:cs="Arial"/>
                      <w:iCs/>
                      <w:color w:val="000000" w:themeColor="text1"/>
                      <w:sz w:val="20"/>
                      <w:szCs w:val="20"/>
                    </w:rPr>
                    <w:t>Extremely high (&gt;80%)</w:t>
                  </w:r>
                </w:p>
              </w:tc>
            </w:tr>
            <w:tr w:rsidR="00386545" w:rsidRPr="00386545" w14:paraId="6D9595E3" w14:textId="77777777" w:rsidTr="003616F9">
              <w:trPr>
                <w:trHeight w:val="252"/>
              </w:trPr>
              <w:tc>
                <w:tcPr>
                  <w:tcW w:w="1885" w:type="dxa"/>
                </w:tcPr>
                <w:p w14:paraId="085D849B" w14:textId="77777777" w:rsidR="00504C72" w:rsidRPr="00386545" w:rsidRDefault="00504C72" w:rsidP="003616F9">
                  <w:pPr>
                    <w:rPr>
                      <w:rFonts w:ascii="Arial" w:hAnsi="Arial" w:cs="Arial"/>
                      <w:color w:val="000000" w:themeColor="text1"/>
                      <w:sz w:val="20"/>
                      <w:szCs w:val="20"/>
                    </w:rPr>
                  </w:pPr>
                  <w:proofErr w:type="spellStart"/>
                  <w:r w:rsidRPr="00386545">
                    <w:rPr>
                      <w:rFonts w:ascii="Arial" w:hAnsi="Arial" w:cs="Arial"/>
                      <w:color w:val="000000" w:themeColor="text1"/>
                      <w:sz w:val="20"/>
                      <w:szCs w:val="20"/>
                    </w:rPr>
                    <w:t>Absheron</w:t>
                  </w:r>
                  <w:proofErr w:type="spellEnd"/>
                </w:p>
              </w:tc>
              <w:tc>
                <w:tcPr>
                  <w:tcW w:w="1800" w:type="dxa"/>
                </w:tcPr>
                <w:p w14:paraId="06B4F113" w14:textId="77777777" w:rsidR="00504C72" w:rsidRPr="00386545" w:rsidRDefault="00504C72" w:rsidP="003616F9">
                  <w:pPr>
                    <w:rPr>
                      <w:rFonts w:ascii="Arial" w:hAnsi="Arial" w:cs="Arial"/>
                      <w:color w:val="000000" w:themeColor="text1"/>
                      <w:sz w:val="20"/>
                      <w:szCs w:val="20"/>
                    </w:rPr>
                  </w:pPr>
                  <w:r w:rsidRPr="00386545">
                    <w:rPr>
                      <w:rFonts w:ascii="Arial" w:hAnsi="Arial" w:cs="Arial"/>
                      <w:color w:val="000000" w:themeColor="text1"/>
                      <w:sz w:val="20"/>
                      <w:szCs w:val="20"/>
                    </w:rPr>
                    <w:t>Extremely High (4-5)</w:t>
                  </w:r>
                </w:p>
              </w:tc>
              <w:tc>
                <w:tcPr>
                  <w:tcW w:w="1710" w:type="dxa"/>
                </w:tcPr>
                <w:p w14:paraId="6691134F" w14:textId="77777777" w:rsidR="00504C72" w:rsidRPr="00386545" w:rsidRDefault="00504C72" w:rsidP="003616F9">
                  <w:pPr>
                    <w:rPr>
                      <w:rFonts w:ascii="Arial" w:hAnsi="Arial" w:cs="Arial"/>
                      <w:color w:val="000000" w:themeColor="text1"/>
                      <w:sz w:val="20"/>
                      <w:szCs w:val="20"/>
                    </w:rPr>
                  </w:pPr>
                  <w:r w:rsidRPr="00386545">
                    <w:rPr>
                      <w:rFonts w:ascii="Arial" w:hAnsi="Arial" w:cs="Arial"/>
                      <w:color w:val="000000" w:themeColor="text1"/>
                      <w:sz w:val="20"/>
                      <w:szCs w:val="20"/>
                    </w:rPr>
                    <w:t>Extremely high (&gt;80%)</w:t>
                  </w:r>
                </w:p>
              </w:tc>
              <w:tc>
                <w:tcPr>
                  <w:tcW w:w="1710" w:type="dxa"/>
                </w:tcPr>
                <w:p w14:paraId="669E9A62" w14:textId="77777777" w:rsidR="00504C72" w:rsidRPr="00386545" w:rsidRDefault="00504C72" w:rsidP="003616F9">
                  <w:pPr>
                    <w:rPr>
                      <w:rFonts w:ascii="Arial" w:eastAsia="Arial" w:hAnsi="Arial" w:cs="Arial"/>
                      <w:iCs/>
                      <w:color w:val="000000" w:themeColor="text1"/>
                      <w:sz w:val="20"/>
                      <w:szCs w:val="20"/>
                    </w:rPr>
                  </w:pPr>
                  <w:r w:rsidRPr="00386545">
                    <w:rPr>
                      <w:rFonts w:ascii="Arial" w:eastAsia="Arial" w:hAnsi="Arial" w:cs="Arial"/>
                      <w:iCs/>
                      <w:color w:val="000000" w:themeColor="text1"/>
                      <w:sz w:val="20"/>
                      <w:szCs w:val="20"/>
                    </w:rPr>
                    <w:t>Extremely high (&gt;80%)</w:t>
                  </w:r>
                </w:p>
              </w:tc>
            </w:tr>
          </w:tbl>
          <w:p w14:paraId="1EA42213" w14:textId="77777777" w:rsidR="00504C72" w:rsidRPr="00386545" w:rsidRDefault="00504C72" w:rsidP="003616F9">
            <w:pPr>
              <w:jc w:val="both"/>
              <w:rPr>
                <w:rFonts w:ascii="Arial" w:eastAsia="Arial" w:hAnsi="Arial" w:cs="Arial"/>
                <w:iCs/>
                <w:color w:val="000000" w:themeColor="text1"/>
                <w:sz w:val="20"/>
                <w:szCs w:val="20"/>
                <w:lang w:val="az-Latn-AZ"/>
              </w:rPr>
            </w:pPr>
            <w:r w:rsidRPr="00386545">
              <w:rPr>
                <w:rFonts w:ascii="Arial" w:eastAsia="Arial" w:hAnsi="Arial" w:cs="Arial"/>
                <w:b/>
                <w:iCs/>
                <w:color w:val="000000" w:themeColor="text1"/>
                <w:sz w:val="20"/>
                <w:szCs w:val="20"/>
                <w:lang w:val="az-Latn-AZ"/>
              </w:rPr>
              <w:t>iii)</w:t>
            </w:r>
            <w:r w:rsidRPr="00386545">
              <w:rPr>
                <w:rFonts w:ascii="Arial" w:eastAsia="Arial" w:hAnsi="Arial" w:cs="Arial"/>
                <w:iCs/>
                <w:color w:val="000000" w:themeColor="text1"/>
                <w:sz w:val="20"/>
                <w:szCs w:val="20"/>
                <w:lang w:val="az-Latn-AZ"/>
              </w:rPr>
              <w:t xml:space="preserve"> Analyzing the present situation, stability, and the impact of projects executed by Umid in various regions of Azerbaijan between 2005 and 2017, with the support of multiple donors. During this period, Umid successfully implemented projects in 300 communities to address socio-economic challenges, with more than 30 of these initiatives focusing on enhancing access to potable water and irrigation. The outcomes of these projects have been truly commendable, with 11 water treatment plants having been successfully constructed, and numerous pumps and tanks repaired or installed. Additionally, over 50,000 meters of water lines were constructed, benefitting more than 20,000 individuals (including over 50% women).</w:t>
            </w:r>
          </w:p>
          <w:p w14:paraId="19BBE914" w14:textId="77777777" w:rsidR="00504C72" w:rsidRPr="00386545" w:rsidRDefault="00504C72" w:rsidP="003616F9">
            <w:pPr>
              <w:jc w:val="both"/>
              <w:rPr>
                <w:rFonts w:ascii="Arial" w:eastAsia="Arial" w:hAnsi="Arial" w:cs="Arial"/>
                <w:iCs/>
                <w:color w:val="000000" w:themeColor="text1"/>
                <w:sz w:val="20"/>
              </w:rPr>
            </w:pPr>
            <w:r w:rsidRPr="00386545">
              <w:rPr>
                <w:rFonts w:ascii="Arial" w:eastAsia="Arial" w:hAnsi="Arial" w:cs="Arial"/>
                <w:b/>
                <w:iCs/>
                <w:color w:val="000000" w:themeColor="text1"/>
                <w:sz w:val="20"/>
                <w:szCs w:val="20"/>
                <w:lang w:val="az-Latn-AZ"/>
              </w:rPr>
              <w:t>iv)</w:t>
            </w:r>
            <w:r w:rsidRPr="00386545">
              <w:rPr>
                <w:rFonts w:ascii="Arial" w:eastAsia="Arial" w:hAnsi="Arial" w:cs="Arial"/>
                <w:iCs/>
                <w:color w:val="000000" w:themeColor="text1"/>
                <w:sz w:val="20"/>
                <w:szCs w:val="20"/>
                <w:lang w:val="az-Latn-AZ"/>
              </w:rPr>
              <w:t xml:space="preserve"> Conducting research in communities located primarily within the Guba-Khachmaz and Central Aran economic zones, which represent the regions of the organization's highest operational presence, to assess the water requirements of these communities. The results of the research analysis allow for the mapping of the current water-related challenges in these communities, as outlined below:</w:t>
            </w:r>
          </w:p>
          <w:p w14:paraId="58E96441" w14:textId="77777777" w:rsidR="00504C72" w:rsidRPr="00386545" w:rsidRDefault="00504C72" w:rsidP="00504C72">
            <w:pPr>
              <w:pStyle w:val="ListParagraph"/>
              <w:numPr>
                <w:ilvl w:val="0"/>
                <w:numId w:val="1"/>
              </w:numPr>
              <w:jc w:val="both"/>
              <w:rPr>
                <w:rFonts w:ascii="Arial" w:eastAsia="Arial" w:hAnsi="Arial" w:cs="Arial"/>
                <w:b/>
                <w:i/>
                <w:iCs/>
                <w:color w:val="000000" w:themeColor="text1"/>
                <w:sz w:val="20"/>
              </w:rPr>
            </w:pPr>
            <w:r w:rsidRPr="00386545">
              <w:rPr>
                <w:rFonts w:ascii="Arial" w:eastAsia="Arial" w:hAnsi="Arial" w:cs="Arial"/>
                <w:b/>
                <w:i/>
                <w:iCs/>
                <w:color w:val="000000" w:themeColor="text1"/>
                <w:sz w:val="20"/>
              </w:rPr>
              <w:t>Drinking water</w:t>
            </w:r>
          </w:p>
          <w:p w14:paraId="0CB7F01A" w14:textId="77777777" w:rsidR="00504C72" w:rsidRPr="00386545" w:rsidRDefault="00504C72" w:rsidP="003616F9">
            <w:pPr>
              <w:jc w:val="both"/>
              <w:rPr>
                <w:rFonts w:ascii="Arial" w:eastAsia="Arial" w:hAnsi="Arial" w:cs="Arial"/>
                <w:iCs/>
                <w:color w:val="000000" w:themeColor="text1"/>
                <w:sz w:val="20"/>
                <w:szCs w:val="20"/>
                <w:lang w:val="az-Latn-AZ"/>
              </w:rPr>
            </w:pPr>
            <w:r w:rsidRPr="00386545">
              <w:rPr>
                <w:rFonts w:ascii="Arial" w:eastAsia="Arial" w:hAnsi="Arial" w:cs="Arial"/>
                <w:b/>
                <w:iCs/>
                <w:color w:val="000000" w:themeColor="text1"/>
                <w:sz w:val="20"/>
              </w:rPr>
              <w:t>1.1</w:t>
            </w:r>
            <w:r w:rsidRPr="00386545">
              <w:rPr>
                <w:rFonts w:ascii="Arial" w:eastAsia="Arial" w:hAnsi="Arial" w:cs="Arial"/>
                <w:iCs/>
                <w:color w:val="000000" w:themeColor="text1"/>
                <w:sz w:val="20"/>
              </w:rPr>
              <w:t>. In the Guba-</w:t>
            </w:r>
            <w:proofErr w:type="spellStart"/>
            <w:r w:rsidRPr="00386545">
              <w:rPr>
                <w:rFonts w:ascii="Arial" w:eastAsia="Arial" w:hAnsi="Arial" w:cs="Arial"/>
                <w:iCs/>
                <w:color w:val="000000" w:themeColor="text1"/>
                <w:sz w:val="20"/>
              </w:rPr>
              <w:t>Khachmaz</w:t>
            </w:r>
            <w:proofErr w:type="spellEnd"/>
            <w:r w:rsidRPr="00386545">
              <w:rPr>
                <w:rFonts w:ascii="Arial" w:eastAsia="Arial" w:hAnsi="Arial" w:cs="Arial"/>
                <w:iCs/>
                <w:color w:val="000000" w:themeColor="text1"/>
                <w:sz w:val="20"/>
              </w:rPr>
              <w:t xml:space="preserve"> region, the primary source of drinking water, accounting for approximately 70-75%, is underground water obtained from </w:t>
            </w:r>
            <w:proofErr w:type="spellStart"/>
            <w:r w:rsidRPr="00386545">
              <w:rPr>
                <w:rFonts w:ascii="Arial" w:eastAsia="Arial" w:hAnsi="Arial" w:cs="Arial"/>
                <w:iCs/>
                <w:color w:val="000000" w:themeColor="text1"/>
                <w:sz w:val="20"/>
              </w:rPr>
              <w:t>subartesian</w:t>
            </w:r>
            <w:proofErr w:type="spellEnd"/>
            <w:r w:rsidRPr="00386545">
              <w:rPr>
                <w:rFonts w:ascii="Arial" w:eastAsia="Arial" w:hAnsi="Arial" w:cs="Arial"/>
                <w:iCs/>
                <w:color w:val="000000" w:themeColor="text1"/>
                <w:sz w:val="20"/>
              </w:rPr>
              <w:t xml:space="preserve"> wells. The main challenge in this regard can be categorized into two types: </w:t>
            </w:r>
            <w:r w:rsidRPr="00386545">
              <w:rPr>
                <w:rFonts w:ascii="Arial" w:eastAsia="Arial" w:hAnsi="Arial" w:cs="Arial"/>
                <w:b/>
                <w:iCs/>
                <w:color w:val="000000" w:themeColor="text1"/>
                <w:sz w:val="20"/>
              </w:rPr>
              <w:t>a)</w:t>
            </w:r>
            <w:r w:rsidRPr="00386545">
              <w:rPr>
                <w:rFonts w:ascii="Arial" w:eastAsia="Arial" w:hAnsi="Arial" w:cs="Arial"/>
                <w:iCs/>
                <w:color w:val="000000" w:themeColor="text1"/>
                <w:sz w:val="20"/>
              </w:rPr>
              <w:t xml:space="preserve"> approximately 50-55% of the issues relate to malfunctioning water lines, while </w:t>
            </w:r>
            <w:r w:rsidRPr="00386545">
              <w:rPr>
                <w:rFonts w:ascii="Arial" w:eastAsia="Arial" w:hAnsi="Arial" w:cs="Arial"/>
                <w:b/>
                <w:iCs/>
                <w:color w:val="000000" w:themeColor="text1"/>
                <w:sz w:val="20"/>
              </w:rPr>
              <w:t>b)</w:t>
            </w:r>
            <w:r w:rsidRPr="00386545">
              <w:rPr>
                <w:rFonts w:ascii="Arial" w:eastAsia="Arial" w:hAnsi="Arial" w:cs="Arial"/>
                <w:iCs/>
                <w:color w:val="000000" w:themeColor="text1"/>
                <w:sz w:val="20"/>
              </w:rPr>
              <w:t xml:space="preserve"> around 20-25% of the problems arise from a significant decrease in water levels in </w:t>
            </w:r>
            <w:proofErr w:type="spellStart"/>
            <w:r w:rsidRPr="00386545">
              <w:rPr>
                <w:rFonts w:ascii="Arial" w:eastAsia="Arial" w:hAnsi="Arial" w:cs="Arial"/>
                <w:iCs/>
                <w:color w:val="000000" w:themeColor="text1"/>
                <w:sz w:val="20"/>
              </w:rPr>
              <w:lastRenderedPageBreak/>
              <w:t>subartesian</w:t>
            </w:r>
            <w:proofErr w:type="spellEnd"/>
            <w:r w:rsidRPr="00386545">
              <w:rPr>
                <w:rFonts w:ascii="Arial" w:eastAsia="Arial" w:hAnsi="Arial" w:cs="Arial"/>
                <w:iCs/>
                <w:color w:val="000000" w:themeColor="text1"/>
                <w:sz w:val="20"/>
              </w:rPr>
              <w:t xml:space="preserve"> wells that have been in operation for an extended period or in springs. The second type of drinking water source in this region comprises springs and rivers situated at a considerable distance from the communities. The primary problem associated with these sources is </w:t>
            </w:r>
            <w:r w:rsidRPr="00386545">
              <w:rPr>
                <w:rFonts w:ascii="Arial" w:eastAsia="Arial" w:hAnsi="Arial" w:cs="Arial"/>
                <w:b/>
                <w:iCs/>
                <w:color w:val="000000" w:themeColor="text1"/>
                <w:sz w:val="20"/>
              </w:rPr>
              <w:t>c)</w:t>
            </w:r>
            <w:r w:rsidRPr="00386545">
              <w:rPr>
                <w:rFonts w:ascii="Arial" w:eastAsia="Arial" w:hAnsi="Arial" w:cs="Arial"/>
                <w:iCs/>
                <w:color w:val="000000" w:themeColor="text1"/>
                <w:sz w:val="20"/>
              </w:rPr>
              <w:t xml:space="preserve"> the deterioration and non-functionality of water lines and reservoirs used to transport water over long distances from springs and rivers to the communities. This particular issue accounts for approximately 20-25% of the challenges faced.</w:t>
            </w:r>
          </w:p>
          <w:p w14:paraId="0782CACC" w14:textId="77777777" w:rsidR="00504C72" w:rsidRPr="00386545" w:rsidRDefault="00504C72" w:rsidP="003616F9">
            <w:pPr>
              <w:jc w:val="both"/>
              <w:rPr>
                <w:rFonts w:ascii="Arial" w:eastAsia="Arial" w:hAnsi="Arial" w:cs="Arial"/>
                <w:iCs/>
                <w:color w:val="000000" w:themeColor="text1"/>
                <w:sz w:val="20"/>
              </w:rPr>
            </w:pPr>
            <w:r w:rsidRPr="00386545">
              <w:rPr>
                <w:rFonts w:ascii="Arial" w:hAnsi="Arial" w:cs="Arial"/>
                <w:b/>
                <w:color w:val="000000" w:themeColor="text1"/>
                <w:sz w:val="20"/>
                <w:szCs w:val="20"/>
                <w:lang w:val="az-Latn-AZ"/>
              </w:rPr>
              <w:t>1.2.</w:t>
            </w:r>
            <w:r w:rsidRPr="00386545">
              <w:rPr>
                <w:rFonts w:ascii="Arial" w:hAnsi="Arial" w:cs="Arial"/>
                <w:color w:val="000000" w:themeColor="text1"/>
                <w:sz w:val="20"/>
                <w:szCs w:val="20"/>
                <w:lang w:val="az-Latn-AZ"/>
              </w:rPr>
              <w:t xml:space="preserve"> The demand for clean drinking water in the communities of the Central Aran region is particularly critical. In this regard: </w:t>
            </w:r>
            <w:r w:rsidRPr="00386545">
              <w:rPr>
                <w:rFonts w:ascii="Arial" w:hAnsi="Arial" w:cs="Arial"/>
                <w:b/>
                <w:color w:val="000000" w:themeColor="text1"/>
                <w:sz w:val="20"/>
                <w:szCs w:val="20"/>
                <w:lang w:val="az-Latn-AZ"/>
              </w:rPr>
              <w:t xml:space="preserve">a) </w:t>
            </w:r>
            <w:r w:rsidRPr="00386545">
              <w:rPr>
                <w:rFonts w:ascii="Arial" w:hAnsi="Arial" w:cs="Arial"/>
                <w:color w:val="000000" w:themeColor="text1"/>
                <w:sz w:val="20"/>
                <w:szCs w:val="20"/>
                <w:lang w:val="az-Latn-AZ"/>
              </w:rPr>
              <w:t xml:space="preserve">The districts of Hajigabul, Kurdamir, Ujar, Aghdash, and Yevlakh face the challenge of lacking access to a reliable source of quality drinking water, as the subsoil water in these areas contains high levels of salinity. Consequently, the only available sources of potable water are the turbid waters of rivers and canals. Throughout the year, the turbidity level of river and canal water fluctuates between 300 mg/l and 5000 mg/l. The primary water supply source for these communities is the Upper Shirvan Canal (USC), which has relatively low turbidity levels (ranging from 10 to 50 mg/l) due to its origin at the Mingechevir Water Storage. However, as the irrigation water is transferred from this canal to the settlements through sand ditches, it becomes contaminated once again with suspended particles, resulting in an increase in turbidity levels (reaching up to 120 mg/l). To obtain potable water, the population must filter this water using crockery and basins. This specific set of challenges affects approximately 55-60% of the communities in this region. </w:t>
            </w:r>
            <w:r w:rsidRPr="00386545">
              <w:rPr>
                <w:rFonts w:ascii="Arial" w:hAnsi="Arial" w:cs="Arial"/>
                <w:b/>
                <w:color w:val="000000" w:themeColor="text1"/>
                <w:sz w:val="20"/>
                <w:szCs w:val="20"/>
                <w:lang w:val="az-Latn-AZ"/>
              </w:rPr>
              <w:t>b)</w:t>
            </w:r>
            <w:r w:rsidRPr="00386545">
              <w:rPr>
                <w:rFonts w:ascii="Arial" w:hAnsi="Arial" w:cs="Arial"/>
                <w:color w:val="000000" w:themeColor="text1"/>
                <w:sz w:val="20"/>
                <w:szCs w:val="20"/>
                <w:lang w:val="az-Latn-AZ"/>
              </w:rPr>
              <w:t xml:space="preserve"> In the Central Aran region, including Imishli, Saatli, Sabirabad, Goranboy, and others, the second source of drinking water is subartesian water. Over time, the main issues arising from long-term operation include the deterioration of water lines and reservoirs, as well as a significant decline in water levels within the subartesian wells. </w:t>
            </w:r>
            <w:r w:rsidRPr="00386545">
              <w:rPr>
                <w:rFonts w:ascii="Arial" w:hAnsi="Arial" w:cs="Arial"/>
                <w:b/>
                <w:color w:val="000000" w:themeColor="text1"/>
                <w:sz w:val="20"/>
                <w:szCs w:val="20"/>
                <w:lang w:val="az-Latn-AZ"/>
              </w:rPr>
              <w:t>c)</w:t>
            </w:r>
            <w:r w:rsidRPr="00386545">
              <w:rPr>
                <w:rFonts w:ascii="Arial" w:hAnsi="Arial" w:cs="Arial"/>
                <w:color w:val="000000" w:themeColor="text1"/>
                <w:sz w:val="20"/>
                <w:szCs w:val="20"/>
                <w:lang w:val="az-Latn-AZ"/>
              </w:rPr>
              <w:t xml:space="preserve"> In this region, the use of modern technologies, such as water purification devices installed by Umid with the support of BP and through a special government program, can be considered as a third means of accessing drinking water. However, the long-term operation of these facilities, coupled with interruptions in water supply channels or changes in water quality, pose operational challenges for these purification systems.</w:t>
            </w:r>
          </w:p>
          <w:p w14:paraId="3FAAB42C" w14:textId="77777777" w:rsidR="00504C72" w:rsidRPr="00386545" w:rsidRDefault="00504C72" w:rsidP="00504C72">
            <w:pPr>
              <w:pStyle w:val="ListParagraph"/>
              <w:numPr>
                <w:ilvl w:val="0"/>
                <w:numId w:val="1"/>
              </w:numPr>
              <w:jc w:val="both"/>
              <w:rPr>
                <w:rFonts w:ascii="Arial" w:eastAsia="Arial" w:hAnsi="Arial" w:cs="Arial"/>
                <w:b/>
                <w:i/>
                <w:iCs/>
                <w:color w:val="000000" w:themeColor="text1"/>
                <w:sz w:val="20"/>
              </w:rPr>
            </w:pPr>
            <w:r w:rsidRPr="00386545">
              <w:rPr>
                <w:rFonts w:ascii="Arial" w:eastAsia="Arial" w:hAnsi="Arial" w:cs="Arial"/>
                <w:b/>
                <w:i/>
                <w:iCs/>
                <w:color w:val="000000" w:themeColor="text1"/>
                <w:sz w:val="20"/>
              </w:rPr>
              <w:t xml:space="preserve">Irrigation water </w:t>
            </w:r>
          </w:p>
          <w:p w14:paraId="12CEE171" w14:textId="77777777" w:rsidR="00504C72" w:rsidRPr="00386545" w:rsidRDefault="00504C72" w:rsidP="003616F9">
            <w:pPr>
              <w:jc w:val="both"/>
              <w:rPr>
                <w:rFonts w:ascii="Arial" w:hAnsi="Arial" w:cs="Arial"/>
                <w:color w:val="000000" w:themeColor="text1"/>
                <w:sz w:val="20"/>
                <w:szCs w:val="20"/>
                <w:lang w:val="az-Latn-AZ"/>
              </w:rPr>
            </w:pPr>
            <w:r w:rsidRPr="00386545">
              <w:rPr>
                <w:rFonts w:ascii="Arial" w:hAnsi="Arial" w:cs="Arial"/>
                <w:b/>
                <w:color w:val="000000" w:themeColor="text1"/>
                <w:sz w:val="20"/>
                <w:szCs w:val="20"/>
                <w:lang w:val="az-Latn-AZ"/>
              </w:rPr>
              <w:t>2.1.</w:t>
            </w:r>
            <w:r w:rsidRPr="00386545">
              <w:rPr>
                <w:rFonts w:ascii="Arial" w:hAnsi="Arial" w:cs="Arial"/>
                <w:color w:val="000000" w:themeColor="text1"/>
                <w:sz w:val="20"/>
                <w:szCs w:val="20"/>
                <w:lang w:val="az-Latn-AZ"/>
              </w:rPr>
              <w:t xml:space="preserve"> The majority of communities in the Guba-Khachmaz region (approximately 80%) face challenges related to irrigation water. The issue of irrigation water scarcity is particularly pronounced in mountainous and foothill villages. While the villages near the Khachmaz district experience normal irrigation water supply until the summer months, thanks to the proximity of the Samur-Absheron canal, the situation changes during the summer when the canal's water level decreases due to increased demand. Consequently, water loss occurs in the earth-based water ditches, rendering normal field irrigation impossible.</w:t>
            </w:r>
          </w:p>
          <w:p w14:paraId="25AB5D48" w14:textId="77777777" w:rsidR="00504C72" w:rsidRPr="00386545" w:rsidRDefault="00504C72" w:rsidP="003616F9">
            <w:pPr>
              <w:jc w:val="both"/>
              <w:rPr>
                <w:rFonts w:ascii="Arial" w:hAnsi="Arial" w:cs="Arial"/>
                <w:color w:val="000000" w:themeColor="text1"/>
                <w:sz w:val="20"/>
                <w:szCs w:val="20"/>
                <w:lang w:val="az-Latn-AZ"/>
              </w:rPr>
            </w:pPr>
            <w:r w:rsidRPr="00386545">
              <w:rPr>
                <w:rFonts w:ascii="Arial" w:hAnsi="Arial" w:cs="Arial"/>
                <w:b/>
                <w:color w:val="000000" w:themeColor="text1"/>
                <w:sz w:val="20"/>
                <w:szCs w:val="20"/>
                <w:lang w:val="az-Latn-AZ"/>
              </w:rPr>
              <w:t>2.2.</w:t>
            </w:r>
            <w:r w:rsidRPr="00386545">
              <w:rPr>
                <w:rFonts w:ascii="Arial" w:hAnsi="Arial" w:cs="Arial"/>
                <w:color w:val="000000" w:themeColor="text1"/>
                <w:sz w:val="20"/>
                <w:szCs w:val="20"/>
                <w:lang w:val="az-Latn-AZ"/>
              </w:rPr>
              <w:t xml:space="preserve"> In the Aran region, a significant number of communities grapple with an irrigation water problem. The main challenges pertaining to irrigation in this region include the decreasing water levels in the water channels, silt accumulation in the main channels, blockage by unsuitable vegetation, and reliance on soil-based water channels that are prone to water loss.</w:t>
            </w:r>
          </w:p>
          <w:p w14:paraId="3A265398" w14:textId="77777777" w:rsidR="00504C72" w:rsidRPr="00386545" w:rsidRDefault="00504C72" w:rsidP="003616F9">
            <w:pPr>
              <w:jc w:val="both"/>
              <w:rPr>
                <w:rFonts w:ascii="Arial" w:eastAsia="Arial" w:hAnsi="Arial" w:cs="Arial"/>
                <w:iCs/>
                <w:color w:val="000000" w:themeColor="text1"/>
                <w:sz w:val="20"/>
              </w:rPr>
            </w:pPr>
            <w:r w:rsidRPr="00386545">
              <w:rPr>
                <w:rFonts w:ascii="Arial" w:eastAsia="Arial" w:hAnsi="Arial" w:cs="Arial"/>
                <w:iCs/>
                <w:color w:val="000000" w:themeColor="text1"/>
                <w:sz w:val="20"/>
              </w:rPr>
              <w:t>For the initial stage of our project activities, we have specifically chosen the Guba-</w:t>
            </w:r>
            <w:proofErr w:type="spellStart"/>
            <w:r w:rsidRPr="00386545">
              <w:rPr>
                <w:rFonts w:ascii="Arial" w:eastAsia="Arial" w:hAnsi="Arial" w:cs="Arial"/>
                <w:iCs/>
                <w:color w:val="000000" w:themeColor="text1"/>
                <w:sz w:val="20"/>
              </w:rPr>
              <w:t>Khachmaz</w:t>
            </w:r>
            <w:proofErr w:type="spellEnd"/>
            <w:r w:rsidRPr="00386545">
              <w:rPr>
                <w:rFonts w:ascii="Arial" w:eastAsia="Arial" w:hAnsi="Arial" w:cs="Arial"/>
                <w:iCs/>
                <w:color w:val="000000" w:themeColor="text1"/>
                <w:sz w:val="20"/>
              </w:rPr>
              <w:t xml:space="preserve"> and Central Aran economic regions as the geographical locations. These areas have been the focus of our long-term engagement, and we have successfully implemented several projects here, gaining extensive knowledge and understanding of the local context. Additionally, our decision is supported by the World Resources Institute's Aqueduct Global Water Risk Atlas, which indicates a high overall water risk (3-4) for both regions in the current period, and an extremely </w:t>
            </w:r>
            <w:proofErr w:type="gramStart"/>
            <w:r w:rsidRPr="00386545">
              <w:rPr>
                <w:rFonts w:ascii="Arial" w:eastAsia="Arial" w:hAnsi="Arial" w:cs="Arial"/>
                <w:iCs/>
                <w:color w:val="000000" w:themeColor="text1"/>
                <w:sz w:val="20"/>
              </w:rPr>
              <w:t>high water</w:t>
            </w:r>
            <w:proofErr w:type="gramEnd"/>
            <w:r w:rsidRPr="00386545">
              <w:rPr>
                <w:rFonts w:ascii="Arial" w:eastAsia="Arial" w:hAnsi="Arial" w:cs="Arial"/>
                <w:iCs/>
                <w:color w:val="000000" w:themeColor="text1"/>
                <w:sz w:val="20"/>
              </w:rPr>
              <w:t xml:space="preserve"> stress (&gt;80%) projection for future years (2030 and 2040).</w:t>
            </w:r>
          </w:p>
          <w:p w14:paraId="6B61D026" w14:textId="77777777" w:rsidR="00504C72" w:rsidRPr="00386545" w:rsidRDefault="00504C72" w:rsidP="003616F9">
            <w:pPr>
              <w:jc w:val="both"/>
              <w:rPr>
                <w:rFonts w:ascii="Arial" w:eastAsia="Arial" w:hAnsi="Arial" w:cs="Arial"/>
                <w:iCs/>
                <w:color w:val="000000" w:themeColor="text1"/>
                <w:sz w:val="20"/>
              </w:rPr>
            </w:pPr>
            <w:r w:rsidRPr="00386545">
              <w:rPr>
                <w:rFonts w:ascii="Arial" w:eastAsia="Arial" w:hAnsi="Arial" w:cs="Arial"/>
                <w:iCs/>
                <w:color w:val="000000" w:themeColor="text1"/>
                <w:sz w:val="20"/>
              </w:rPr>
              <w:t xml:space="preserve">Upon completion of the second year, we will evaluate the outcomes and consider expanding our project to include the Mountainous </w:t>
            </w:r>
            <w:proofErr w:type="spellStart"/>
            <w:r w:rsidRPr="00386545">
              <w:rPr>
                <w:rFonts w:ascii="Arial" w:eastAsia="Arial" w:hAnsi="Arial" w:cs="Arial"/>
                <w:iCs/>
                <w:color w:val="000000" w:themeColor="text1"/>
                <w:sz w:val="20"/>
              </w:rPr>
              <w:t>Shirvan</w:t>
            </w:r>
            <w:proofErr w:type="spellEnd"/>
            <w:r w:rsidRPr="00386545">
              <w:rPr>
                <w:rFonts w:ascii="Arial" w:eastAsia="Arial" w:hAnsi="Arial" w:cs="Arial"/>
                <w:iCs/>
                <w:color w:val="000000" w:themeColor="text1"/>
                <w:sz w:val="20"/>
              </w:rPr>
              <w:t xml:space="preserve"> economic region in the </w:t>
            </w:r>
            <w:r w:rsidRPr="00386545">
              <w:rPr>
                <w:rFonts w:ascii="Arial" w:eastAsia="Arial" w:hAnsi="Arial" w:cs="Arial"/>
                <w:iCs/>
                <w:color w:val="000000" w:themeColor="text1"/>
                <w:sz w:val="20"/>
              </w:rPr>
              <w:lastRenderedPageBreak/>
              <w:t>third year. This decision will depend on the available budget and the progress made by the government in that region during the intervening period.</w:t>
            </w:r>
          </w:p>
          <w:p w14:paraId="227B2B28" w14:textId="77777777" w:rsidR="00504C72" w:rsidRPr="00386545" w:rsidRDefault="00504C72" w:rsidP="003616F9">
            <w:pPr>
              <w:jc w:val="both"/>
              <w:rPr>
                <w:color w:val="000000" w:themeColor="text1"/>
              </w:rPr>
            </w:pPr>
            <w:r w:rsidRPr="00386545">
              <w:rPr>
                <w:rFonts w:ascii="Arial" w:hAnsi="Arial" w:cs="Arial"/>
                <w:color w:val="000000" w:themeColor="text1"/>
                <w:sz w:val="20"/>
              </w:rPr>
              <w:t>Within the project areas, the proposed project aims to benefit a diverse range of target groups, encompassing women, men, children, farmers, and more. The primary focus is on rural communities facing challenges in accessing safe drinking water and adequate irrigation resources. By prioritizing these communities, we aim to address their pressing needs and alleviate their hardships, while also ensuring that awareness is raised on effective and safe usage of water and fostering a sanitary-hygienic culture. Additionally, our project specifically emphasizes supporting farmers within these communities, acknowledging their vital role in sustaining the local economy and ensuring food security. By providing them with reliable water sources and improved irrigation facilities, we aim to enhance their productivity and livelihoods. By targeting these diverse groups, the project aims to have a positive and transformative impact on the overall well-being and livelihoods of the communities involved. The project is anticipated to benefit a total of 25,000 individuals as beneficiaries.</w:t>
            </w:r>
          </w:p>
        </w:tc>
      </w:tr>
    </w:tbl>
    <w:tbl>
      <w:tblPr>
        <w:tblStyle w:val="TableGrid1"/>
        <w:tblW w:w="9192" w:type="dxa"/>
        <w:tblInd w:w="-10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107" w:type="dxa"/>
        </w:tblCellMar>
        <w:tblLook w:val="04A0" w:firstRow="1" w:lastRow="0" w:firstColumn="1" w:lastColumn="0" w:noHBand="0" w:noVBand="1"/>
      </w:tblPr>
      <w:tblGrid>
        <w:gridCol w:w="1697"/>
        <w:gridCol w:w="7495"/>
      </w:tblGrid>
      <w:tr w:rsidR="00504C72" w:rsidRPr="00B4306C" w14:paraId="223F2DAE" w14:textId="77777777" w:rsidTr="003616F9">
        <w:trPr>
          <w:trHeight w:val="636"/>
        </w:trPr>
        <w:tc>
          <w:tcPr>
            <w:tcW w:w="1697" w:type="dxa"/>
          </w:tcPr>
          <w:p w14:paraId="73C68A13" w14:textId="77777777" w:rsidR="00504C72" w:rsidRDefault="00504C72" w:rsidP="003616F9">
            <w:pPr>
              <w:rPr>
                <w:rFonts w:ascii="Arial" w:eastAsia="Arial" w:hAnsi="Arial" w:cs="Arial"/>
                <w:b/>
              </w:rPr>
            </w:pPr>
            <w:r>
              <w:rPr>
                <w:rFonts w:ascii="Arial" w:eastAsia="Arial" w:hAnsi="Arial" w:cs="Arial"/>
                <w:b/>
              </w:rPr>
              <w:lastRenderedPageBreak/>
              <w:t>Project Needs</w:t>
            </w:r>
          </w:p>
        </w:tc>
        <w:tc>
          <w:tcPr>
            <w:tcW w:w="7495" w:type="dxa"/>
            <w:vAlign w:val="center"/>
          </w:tcPr>
          <w:p w14:paraId="22ABF7BC" w14:textId="77777777" w:rsidR="00504C72" w:rsidRDefault="00504C72" w:rsidP="003616F9">
            <w:pPr>
              <w:jc w:val="both"/>
              <w:rPr>
                <w:rFonts w:ascii="Arial" w:eastAsia="Arial" w:hAnsi="Arial" w:cs="Arial"/>
                <w:iCs/>
                <w:color w:val="000000" w:themeColor="text1"/>
                <w:sz w:val="20"/>
              </w:rPr>
            </w:pPr>
            <w:r w:rsidRPr="00FB2820">
              <w:rPr>
                <w:rFonts w:ascii="Arial" w:eastAsia="Arial" w:hAnsi="Arial" w:cs="Arial"/>
                <w:iCs/>
                <w:color w:val="000000" w:themeColor="text1"/>
                <w:sz w:val="20"/>
              </w:rPr>
              <w:t xml:space="preserve">The water stress conditions in the area pose significant challenges for purification efforts. The water can only be partially purified through filtering, reducing the contaminants to approximately 325 mg/l. </w:t>
            </w:r>
            <w:r w:rsidRPr="00E84734">
              <w:rPr>
                <w:rFonts w:ascii="Arial" w:eastAsia="Arial" w:hAnsi="Arial" w:cs="Arial"/>
                <w:iCs/>
                <w:color w:val="000000" w:themeColor="text1"/>
                <w:sz w:val="20"/>
              </w:rPr>
              <w:t>However, the remaining 25 mg/l of suspended particles, incl</w:t>
            </w:r>
            <w:bookmarkStart w:id="0" w:name="_GoBack"/>
            <w:bookmarkEnd w:id="0"/>
            <w:r w:rsidRPr="00E84734">
              <w:rPr>
                <w:rFonts w:ascii="Arial" w:eastAsia="Arial" w:hAnsi="Arial" w:cs="Arial"/>
                <w:iCs/>
                <w:color w:val="000000" w:themeColor="text1"/>
                <w:sz w:val="20"/>
              </w:rPr>
              <w:t>uding montmorillonite and other bentonite clays, rapidly absorb biogenic and organic waste, converting them into infectious microbes within a 1 km radius.</w:t>
            </w:r>
            <w:r>
              <w:rPr>
                <w:rFonts w:ascii="Arial" w:eastAsia="Arial" w:hAnsi="Arial" w:cs="Arial"/>
                <w:iCs/>
                <w:color w:val="000000" w:themeColor="text1"/>
                <w:sz w:val="20"/>
              </w:rPr>
              <w:t xml:space="preserve"> </w:t>
            </w:r>
            <w:r w:rsidRPr="008313C3">
              <w:rPr>
                <w:rFonts w:ascii="Arial" w:eastAsia="Arial" w:hAnsi="Arial" w:cs="Arial"/>
                <w:iCs/>
                <w:color w:val="000000" w:themeColor="text1"/>
                <w:sz w:val="20"/>
              </w:rPr>
              <w:t>These particles resist regular clearing processes, entering the human body with water and spreading serious diseases like typhoid fever, bacterial dysentery, acute viral hepatitis, and more.</w:t>
            </w:r>
            <w:r w:rsidRPr="00FB2820">
              <w:rPr>
                <w:rFonts w:ascii="Arial" w:eastAsia="Arial" w:hAnsi="Arial" w:cs="Arial"/>
                <w:iCs/>
                <w:color w:val="000000" w:themeColor="text1"/>
                <w:sz w:val="20"/>
              </w:rPr>
              <w:t xml:space="preserve"> To address these concerns, it is crucial to filter the purified water through water filters and further clean it by reducing the suspended particles to a level as low as 1.5 mg/l</w:t>
            </w:r>
            <w:r w:rsidRPr="003A3512">
              <w:rPr>
                <w:rFonts w:ascii="Arial" w:eastAsia="Arial" w:hAnsi="Arial" w:cs="Arial"/>
                <w:iCs/>
                <w:color w:val="000000" w:themeColor="text1"/>
                <w:sz w:val="20"/>
              </w:rPr>
              <w:t xml:space="preserve">. This process ensures that the water is purified from the infectious viruses and other waste materials mentioned earlier. Additionally, the remaining 2-5% of microorganisms and waste materials that may still be present in the water are neutralized and rendered harmless, for example, by utilizing mercury lamps that emit ultraviolet rays. </w:t>
            </w:r>
            <w:r w:rsidRPr="007F52E9">
              <w:rPr>
                <w:rFonts w:ascii="Arial" w:eastAsia="Arial" w:hAnsi="Arial" w:cs="Arial"/>
                <w:iCs/>
                <w:color w:val="000000" w:themeColor="text1"/>
                <w:sz w:val="20"/>
              </w:rPr>
              <w:t xml:space="preserve">This purification approach </w:t>
            </w:r>
            <w:r w:rsidRPr="0027122A">
              <w:rPr>
                <w:rFonts w:ascii="Arial" w:eastAsia="Arial" w:hAnsi="Arial" w:cs="Arial"/>
                <w:iCs/>
                <w:color w:val="000000" w:themeColor="text1"/>
                <w:sz w:val="20"/>
              </w:rPr>
              <w:t>ensures water safety and mitigates health risks</w:t>
            </w:r>
            <w:r w:rsidRPr="007F52E9">
              <w:rPr>
                <w:rFonts w:ascii="Arial" w:eastAsia="Arial" w:hAnsi="Arial" w:cs="Arial"/>
                <w:iCs/>
                <w:color w:val="000000" w:themeColor="text1"/>
                <w:sz w:val="20"/>
              </w:rPr>
              <w:t>.</w:t>
            </w:r>
            <w:r>
              <w:rPr>
                <w:rFonts w:ascii="Arial" w:eastAsia="Arial" w:hAnsi="Arial" w:cs="Arial"/>
                <w:iCs/>
                <w:color w:val="000000" w:themeColor="text1"/>
                <w:sz w:val="20"/>
              </w:rPr>
              <w:t xml:space="preserve"> </w:t>
            </w:r>
          </w:p>
          <w:p w14:paraId="3A4BB273" w14:textId="77777777" w:rsidR="00504C72" w:rsidRDefault="00504C72" w:rsidP="003616F9">
            <w:pPr>
              <w:jc w:val="both"/>
              <w:rPr>
                <w:rFonts w:ascii="Arial" w:eastAsia="Arial" w:hAnsi="Arial" w:cs="Arial"/>
                <w:iCs/>
                <w:color w:val="000000" w:themeColor="text1"/>
                <w:sz w:val="20"/>
              </w:rPr>
            </w:pPr>
            <w:r w:rsidRPr="00FB2820">
              <w:rPr>
                <w:rFonts w:ascii="Arial" w:eastAsia="Arial" w:hAnsi="Arial" w:cs="Arial"/>
                <w:iCs/>
                <w:color w:val="000000" w:themeColor="text1"/>
                <w:sz w:val="20"/>
              </w:rPr>
              <w:t>The project addresses several critical needs in the following areas:</w:t>
            </w:r>
          </w:p>
          <w:p w14:paraId="0509C6BD" w14:textId="77777777" w:rsidR="00504C72" w:rsidRPr="003C1485" w:rsidRDefault="00504C72" w:rsidP="003616F9">
            <w:pPr>
              <w:jc w:val="both"/>
              <w:rPr>
                <w:rFonts w:ascii="Arial" w:eastAsia="Arial" w:hAnsi="Arial" w:cs="Arial"/>
                <w:iCs/>
                <w:color w:val="000000" w:themeColor="text1"/>
                <w:sz w:val="20"/>
              </w:rPr>
            </w:pPr>
            <w:r w:rsidRPr="00174263">
              <w:rPr>
                <w:rFonts w:ascii="Arial" w:eastAsia="Arial" w:hAnsi="Arial" w:cs="Arial"/>
                <w:b/>
                <w:iCs/>
                <w:color w:val="000000" w:themeColor="text1"/>
                <w:sz w:val="20"/>
              </w:rPr>
              <w:t>1.</w:t>
            </w:r>
            <w:r w:rsidRPr="003C1485">
              <w:rPr>
                <w:rFonts w:ascii="Arial" w:eastAsia="Arial" w:hAnsi="Arial" w:cs="Arial"/>
                <w:iCs/>
                <w:color w:val="000000" w:themeColor="text1"/>
                <w:sz w:val="20"/>
              </w:rPr>
              <w:t xml:space="preserve"> Addressing the drinking water problem in the Guba-</w:t>
            </w:r>
            <w:proofErr w:type="spellStart"/>
            <w:r w:rsidRPr="003C1485">
              <w:rPr>
                <w:rFonts w:ascii="Arial" w:eastAsia="Arial" w:hAnsi="Arial" w:cs="Arial"/>
                <w:iCs/>
                <w:color w:val="000000" w:themeColor="text1"/>
                <w:sz w:val="20"/>
              </w:rPr>
              <w:t>Khachmaz</w:t>
            </w:r>
            <w:proofErr w:type="spellEnd"/>
            <w:r w:rsidRPr="003C1485">
              <w:rPr>
                <w:rFonts w:ascii="Arial" w:eastAsia="Arial" w:hAnsi="Arial" w:cs="Arial"/>
                <w:iCs/>
                <w:color w:val="000000" w:themeColor="text1"/>
                <w:sz w:val="20"/>
              </w:rPr>
              <w:t xml:space="preserve"> region:</w:t>
            </w:r>
          </w:p>
          <w:p w14:paraId="6319F5C8"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szCs w:val="20"/>
              </w:rPr>
            </w:pPr>
            <w:r w:rsidRPr="003C1485">
              <w:rPr>
                <w:rFonts w:ascii="Arial" w:eastAsia="Arial" w:hAnsi="Arial" w:cs="Arial"/>
                <w:iCs/>
                <w:color w:val="000000" w:themeColor="text1"/>
                <w:sz w:val="20"/>
                <w:szCs w:val="20"/>
              </w:rPr>
              <w:t>Rehabilitation of existing water lines and tanks.</w:t>
            </w:r>
          </w:p>
          <w:p w14:paraId="75F6F18A"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szCs w:val="20"/>
              </w:rPr>
            </w:pPr>
            <w:r w:rsidRPr="003C1485">
              <w:rPr>
                <w:rFonts w:ascii="Arial" w:eastAsia="Arial" w:hAnsi="Arial" w:cs="Arial"/>
                <w:iCs/>
                <w:color w:val="000000" w:themeColor="text1"/>
                <w:sz w:val="20"/>
                <w:szCs w:val="20"/>
              </w:rPr>
              <w:t>Installation of new water lines sourced from springs and rivers.</w:t>
            </w:r>
          </w:p>
          <w:p w14:paraId="1D9D2CF4"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rPr>
            </w:pPr>
            <w:r w:rsidRPr="003C1485">
              <w:rPr>
                <w:rFonts w:ascii="Arial" w:eastAsia="Arial" w:hAnsi="Arial" w:cs="Arial"/>
                <w:iCs/>
                <w:color w:val="000000" w:themeColor="text1"/>
                <w:sz w:val="20"/>
                <w:szCs w:val="20"/>
              </w:rPr>
              <w:t>Installation</w:t>
            </w:r>
            <w:r w:rsidRPr="003C1485">
              <w:rPr>
                <w:rFonts w:ascii="Arial" w:eastAsia="Arial" w:hAnsi="Arial" w:cs="Arial"/>
                <w:iCs/>
                <w:color w:val="000000" w:themeColor="text1"/>
                <w:sz w:val="20"/>
              </w:rPr>
              <w:t xml:space="preserve"> of water tanks to ensure adequate storage capacity.</w:t>
            </w:r>
          </w:p>
          <w:p w14:paraId="31D23CD2" w14:textId="77777777" w:rsidR="00504C72" w:rsidRPr="003C1485" w:rsidRDefault="00504C72" w:rsidP="003616F9">
            <w:pPr>
              <w:jc w:val="both"/>
              <w:rPr>
                <w:rFonts w:ascii="Arial" w:eastAsia="Arial" w:hAnsi="Arial" w:cs="Arial"/>
                <w:iCs/>
                <w:color w:val="000000" w:themeColor="text1"/>
                <w:sz w:val="20"/>
              </w:rPr>
            </w:pPr>
            <w:r w:rsidRPr="00AE4350">
              <w:rPr>
                <w:rFonts w:ascii="Arial" w:eastAsia="Arial" w:hAnsi="Arial" w:cs="Arial"/>
                <w:b/>
                <w:iCs/>
                <w:color w:val="000000" w:themeColor="text1"/>
                <w:sz w:val="20"/>
              </w:rPr>
              <w:t>2.</w:t>
            </w:r>
            <w:r w:rsidRPr="003C1485">
              <w:rPr>
                <w:rFonts w:ascii="Arial" w:eastAsia="Arial" w:hAnsi="Arial" w:cs="Arial"/>
                <w:iCs/>
                <w:color w:val="000000" w:themeColor="text1"/>
                <w:sz w:val="20"/>
              </w:rPr>
              <w:t xml:space="preserve"> Solving the irrigation water problem in the Guba-</w:t>
            </w:r>
            <w:proofErr w:type="spellStart"/>
            <w:r w:rsidRPr="003C1485">
              <w:rPr>
                <w:rFonts w:ascii="Arial" w:eastAsia="Arial" w:hAnsi="Arial" w:cs="Arial"/>
                <w:iCs/>
                <w:color w:val="000000" w:themeColor="text1"/>
                <w:sz w:val="20"/>
              </w:rPr>
              <w:t>Khachmaz</w:t>
            </w:r>
            <w:proofErr w:type="spellEnd"/>
            <w:r w:rsidRPr="003C1485">
              <w:rPr>
                <w:rFonts w:ascii="Arial" w:eastAsia="Arial" w:hAnsi="Arial" w:cs="Arial"/>
                <w:iCs/>
                <w:color w:val="000000" w:themeColor="text1"/>
                <w:sz w:val="20"/>
              </w:rPr>
              <w:t xml:space="preserve"> region:</w:t>
            </w:r>
          </w:p>
          <w:p w14:paraId="69741642" w14:textId="77777777" w:rsidR="00504C72" w:rsidRPr="00AE4350" w:rsidRDefault="00504C72" w:rsidP="00504C72">
            <w:pPr>
              <w:pStyle w:val="ListParagraph"/>
              <w:numPr>
                <w:ilvl w:val="0"/>
                <w:numId w:val="2"/>
              </w:numPr>
              <w:jc w:val="both"/>
              <w:rPr>
                <w:rFonts w:ascii="Arial" w:eastAsia="Arial" w:hAnsi="Arial" w:cs="Arial"/>
                <w:iCs/>
                <w:color w:val="000000" w:themeColor="text1"/>
                <w:sz w:val="20"/>
                <w:szCs w:val="20"/>
              </w:rPr>
            </w:pPr>
            <w:r w:rsidRPr="00AE4350">
              <w:rPr>
                <w:rFonts w:ascii="Arial" w:eastAsia="Arial" w:hAnsi="Arial" w:cs="Arial"/>
                <w:iCs/>
                <w:color w:val="000000" w:themeColor="text1"/>
                <w:sz w:val="20"/>
                <w:szCs w:val="20"/>
              </w:rPr>
              <w:t>Construction of large-diameter plastic pipes or concrete earth ditches in fields and orchards.</w:t>
            </w:r>
          </w:p>
          <w:p w14:paraId="2586D73E" w14:textId="77777777" w:rsidR="00504C72" w:rsidRPr="00AE4350" w:rsidRDefault="00504C72" w:rsidP="00504C72">
            <w:pPr>
              <w:pStyle w:val="ListParagraph"/>
              <w:numPr>
                <w:ilvl w:val="0"/>
                <w:numId w:val="2"/>
              </w:numPr>
              <w:jc w:val="both"/>
              <w:rPr>
                <w:rFonts w:ascii="Arial" w:eastAsia="Arial" w:hAnsi="Arial" w:cs="Arial"/>
                <w:iCs/>
                <w:color w:val="000000" w:themeColor="text1"/>
                <w:sz w:val="20"/>
                <w:szCs w:val="20"/>
              </w:rPr>
            </w:pPr>
            <w:r w:rsidRPr="00AE4350">
              <w:rPr>
                <w:rFonts w:ascii="Arial" w:eastAsia="Arial" w:hAnsi="Arial" w:cs="Arial"/>
                <w:iCs/>
                <w:color w:val="000000" w:themeColor="text1"/>
                <w:sz w:val="20"/>
                <w:szCs w:val="20"/>
              </w:rPr>
              <w:t>Introduction of new irrigation systems, such as drip irrigation and automatic water sprinklers, to improve water efficiency, prevent wastage, and protect water resources.</w:t>
            </w:r>
          </w:p>
          <w:p w14:paraId="40FC2344" w14:textId="77777777" w:rsidR="00504C72" w:rsidRPr="003C1485" w:rsidRDefault="00504C72" w:rsidP="003616F9">
            <w:pPr>
              <w:jc w:val="both"/>
              <w:rPr>
                <w:rFonts w:ascii="Arial" w:eastAsia="Arial" w:hAnsi="Arial" w:cs="Arial"/>
                <w:iCs/>
                <w:color w:val="000000" w:themeColor="text1"/>
                <w:sz w:val="20"/>
              </w:rPr>
            </w:pPr>
            <w:r w:rsidRPr="00AE4350">
              <w:rPr>
                <w:rFonts w:ascii="Arial" w:eastAsia="Arial" w:hAnsi="Arial" w:cs="Arial"/>
                <w:b/>
                <w:iCs/>
                <w:color w:val="000000" w:themeColor="text1"/>
                <w:sz w:val="20"/>
              </w:rPr>
              <w:t>3.</w:t>
            </w:r>
            <w:r>
              <w:rPr>
                <w:rFonts w:ascii="Arial" w:eastAsia="Arial" w:hAnsi="Arial" w:cs="Arial"/>
                <w:iCs/>
                <w:color w:val="000000" w:themeColor="text1"/>
                <w:sz w:val="20"/>
              </w:rPr>
              <w:t xml:space="preserve"> Restoration of water </w:t>
            </w:r>
            <w:r w:rsidRPr="003C1485">
              <w:rPr>
                <w:rFonts w:ascii="Arial" w:eastAsia="Arial" w:hAnsi="Arial" w:cs="Arial"/>
                <w:iCs/>
                <w:color w:val="000000" w:themeColor="text1"/>
                <w:sz w:val="20"/>
              </w:rPr>
              <w:t>purification facilities in the Central Aran region:</w:t>
            </w:r>
          </w:p>
          <w:p w14:paraId="23E1B4F5"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rPr>
            </w:pPr>
            <w:r>
              <w:rPr>
                <w:rFonts w:ascii="Arial" w:eastAsia="Arial" w:hAnsi="Arial" w:cs="Arial"/>
                <w:iCs/>
                <w:color w:val="000000" w:themeColor="text1"/>
                <w:sz w:val="20"/>
              </w:rPr>
              <w:t xml:space="preserve">These facilities were </w:t>
            </w:r>
            <w:r w:rsidRPr="003C1485">
              <w:rPr>
                <w:rFonts w:ascii="Arial" w:eastAsia="Arial" w:hAnsi="Arial" w:cs="Arial"/>
                <w:iCs/>
                <w:color w:val="000000" w:themeColor="text1"/>
                <w:sz w:val="20"/>
              </w:rPr>
              <w:t xml:space="preserve">established by </w:t>
            </w:r>
            <w:proofErr w:type="spellStart"/>
            <w:r w:rsidRPr="003C1485">
              <w:rPr>
                <w:rFonts w:ascii="Arial" w:eastAsia="Arial" w:hAnsi="Arial" w:cs="Arial"/>
                <w:iCs/>
                <w:color w:val="000000" w:themeColor="text1"/>
                <w:sz w:val="20"/>
              </w:rPr>
              <w:t>Umid</w:t>
            </w:r>
            <w:proofErr w:type="spellEnd"/>
            <w:r w:rsidRPr="003C1485">
              <w:rPr>
                <w:rFonts w:ascii="Arial" w:eastAsia="Arial" w:hAnsi="Arial" w:cs="Arial"/>
                <w:iCs/>
                <w:color w:val="000000" w:themeColor="text1"/>
                <w:sz w:val="20"/>
              </w:rPr>
              <w:t xml:space="preserve"> in 2005 with donor support from BP and installed by the government through a dedicated</w:t>
            </w:r>
            <w:r>
              <w:rPr>
                <w:rFonts w:ascii="Arial" w:eastAsia="Arial" w:hAnsi="Arial" w:cs="Arial"/>
                <w:iCs/>
                <w:color w:val="000000" w:themeColor="text1"/>
                <w:sz w:val="20"/>
              </w:rPr>
              <w:t xml:space="preserve"> program between 2007 and 2017. </w:t>
            </w:r>
            <w:r w:rsidRPr="00B57FED">
              <w:rPr>
                <w:rFonts w:ascii="Arial" w:eastAsia="Arial" w:hAnsi="Arial" w:cs="Arial"/>
                <w:iCs/>
                <w:color w:val="000000" w:themeColor="text1"/>
                <w:sz w:val="20"/>
              </w:rPr>
              <w:t>Out of a total of 470 facilities, at least 50% require repair or restoration of water sources for various reasons.</w:t>
            </w:r>
            <w:r>
              <w:rPr>
                <w:rFonts w:ascii="Arial" w:eastAsia="Arial" w:hAnsi="Arial" w:cs="Arial"/>
                <w:iCs/>
                <w:color w:val="000000" w:themeColor="text1"/>
                <w:sz w:val="20"/>
              </w:rPr>
              <w:t xml:space="preserve"> </w:t>
            </w:r>
          </w:p>
          <w:p w14:paraId="24E7D8E6" w14:textId="77777777" w:rsidR="00504C72" w:rsidRPr="003C1485" w:rsidRDefault="00504C72" w:rsidP="003616F9">
            <w:pPr>
              <w:jc w:val="both"/>
              <w:rPr>
                <w:rFonts w:ascii="Arial" w:eastAsia="Arial" w:hAnsi="Arial" w:cs="Arial"/>
                <w:iCs/>
                <w:color w:val="000000" w:themeColor="text1"/>
                <w:sz w:val="20"/>
              </w:rPr>
            </w:pPr>
            <w:r w:rsidRPr="00AE4350">
              <w:rPr>
                <w:rFonts w:ascii="Arial" w:eastAsia="Arial" w:hAnsi="Arial" w:cs="Arial"/>
                <w:b/>
                <w:iCs/>
                <w:color w:val="000000" w:themeColor="text1"/>
                <w:sz w:val="20"/>
              </w:rPr>
              <w:t>4.</w:t>
            </w:r>
            <w:r w:rsidRPr="003C1485">
              <w:rPr>
                <w:rFonts w:ascii="Arial" w:eastAsia="Arial" w:hAnsi="Arial" w:cs="Arial"/>
                <w:iCs/>
                <w:color w:val="000000" w:themeColor="text1"/>
                <w:sz w:val="20"/>
              </w:rPr>
              <w:t xml:space="preserve"> Tackling the irrigation water problem in the Central Aran region:</w:t>
            </w:r>
          </w:p>
          <w:p w14:paraId="6D78A460"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rPr>
            </w:pPr>
            <w:r w:rsidRPr="003C1485">
              <w:rPr>
                <w:rFonts w:ascii="Arial" w:eastAsia="Arial" w:hAnsi="Arial" w:cs="Arial"/>
                <w:iCs/>
                <w:color w:val="000000" w:themeColor="text1"/>
                <w:sz w:val="20"/>
              </w:rPr>
              <w:t>Utilization of artesian wells in communities with limited water sources.</w:t>
            </w:r>
          </w:p>
          <w:p w14:paraId="4846F940"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rPr>
            </w:pPr>
            <w:r w:rsidRPr="003C1485">
              <w:rPr>
                <w:rFonts w:ascii="Arial" w:eastAsia="Arial" w:hAnsi="Arial" w:cs="Arial"/>
                <w:iCs/>
                <w:color w:val="000000" w:themeColor="text1"/>
                <w:sz w:val="20"/>
              </w:rPr>
              <w:t>Implementation of drip irrigation systems and automatic sprinklers.</w:t>
            </w:r>
          </w:p>
          <w:p w14:paraId="65D4E82F" w14:textId="77777777" w:rsidR="00504C72" w:rsidRPr="003C1485" w:rsidRDefault="00504C72" w:rsidP="00504C72">
            <w:pPr>
              <w:pStyle w:val="ListParagraph"/>
              <w:numPr>
                <w:ilvl w:val="0"/>
                <w:numId w:val="2"/>
              </w:numPr>
              <w:jc w:val="both"/>
              <w:rPr>
                <w:rFonts w:ascii="Arial" w:eastAsia="Arial" w:hAnsi="Arial" w:cs="Arial"/>
                <w:iCs/>
                <w:color w:val="000000" w:themeColor="text1"/>
                <w:sz w:val="20"/>
              </w:rPr>
            </w:pPr>
            <w:r w:rsidRPr="003C1485">
              <w:rPr>
                <w:rFonts w:ascii="Arial" w:eastAsia="Arial" w:hAnsi="Arial" w:cs="Arial"/>
                <w:iCs/>
                <w:color w:val="000000" w:themeColor="text1"/>
                <w:sz w:val="20"/>
              </w:rPr>
              <w:t>Placement of high-capacity water tanks on overpasses near agricultural fields to optimize water distribution and usage for irrigation purposes.</w:t>
            </w:r>
          </w:p>
          <w:p w14:paraId="33DC4E68" w14:textId="77777777" w:rsidR="00504C72" w:rsidRPr="003C1485" w:rsidRDefault="00504C72" w:rsidP="003616F9">
            <w:pPr>
              <w:jc w:val="both"/>
              <w:rPr>
                <w:rFonts w:ascii="Arial" w:eastAsia="Arial" w:hAnsi="Arial" w:cs="Arial"/>
                <w:iCs/>
                <w:color w:val="000000" w:themeColor="text1"/>
                <w:sz w:val="20"/>
              </w:rPr>
            </w:pPr>
            <w:r w:rsidRPr="005B1EF9">
              <w:rPr>
                <w:rFonts w:ascii="Arial" w:eastAsia="Arial" w:hAnsi="Arial" w:cs="Arial"/>
                <w:b/>
                <w:iCs/>
                <w:color w:val="000000" w:themeColor="text1"/>
                <w:sz w:val="20"/>
              </w:rPr>
              <w:t>5.</w:t>
            </w:r>
            <w:r w:rsidRPr="003C1485">
              <w:rPr>
                <w:rFonts w:ascii="Arial" w:eastAsia="Arial" w:hAnsi="Arial" w:cs="Arial"/>
                <w:iCs/>
                <w:color w:val="000000" w:themeColor="text1"/>
                <w:sz w:val="20"/>
              </w:rPr>
              <w:t xml:space="preserve"> Raising communities' awareness on safe and efficient usage of water and water purification technologies.</w:t>
            </w:r>
          </w:p>
          <w:p w14:paraId="25B8C4DF" w14:textId="77777777" w:rsidR="00504C72" w:rsidRPr="003C1485" w:rsidRDefault="00504C72" w:rsidP="003616F9">
            <w:pPr>
              <w:jc w:val="both"/>
              <w:rPr>
                <w:rFonts w:ascii="Arial" w:eastAsia="Arial" w:hAnsi="Arial" w:cs="Arial"/>
                <w:iCs/>
                <w:color w:val="000000" w:themeColor="text1"/>
                <w:sz w:val="20"/>
              </w:rPr>
            </w:pPr>
            <w:r w:rsidRPr="005B1EF9">
              <w:rPr>
                <w:rFonts w:ascii="Arial" w:eastAsia="Arial" w:hAnsi="Arial" w:cs="Arial"/>
                <w:b/>
                <w:iCs/>
                <w:color w:val="000000" w:themeColor="text1"/>
                <w:sz w:val="20"/>
              </w:rPr>
              <w:t>6.</w:t>
            </w:r>
            <w:r w:rsidRPr="003C1485">
              <w:rPr>
                <w:rFonts w:ascii="Arial" w:eastAsia="Arial" w:hAnsi="Arial" w:cs="Arial"/>
                <w:iCs/>
                <w:color w:val="000000" w:themeColor="text1"/>
                <w:sz w:val="20"/>
              </w:rPr>
              <w:t xml:space="preserve"> Enhancing </w:t>
            </w:r>
            <w:r w:rsidRPr="00250B6F">
              <w:rPr>
                <w:rFonts w:ascii="Arial" w:eastAsia="Arial" w:hAnsi="Arial" w:cs="Arial"/>
                <w:iCs/>
                <w:color w:val="000000" w:themeColor="text1"/>
                <w:sz w:val="20"/>
              </w:rPr>
              <w:t>communities' institutional and organizational capacities.</w:t>
            </w:r>
          </w:p>
          <w:p w14:paraId="3C6577BA" w14:textId="77777777" w:rsidR="00504C72" w:rsidRPr="00FB2820" w:rsidRDefault="00504C72" w:rsidP="003616F9">
            <w:pPr>
              <w:jc w:val="both"/>
              <w:rPr>
                <w:rFonts w:ascii="Arial" w:eastAsia="Arial" w:hAnsi="Arial" w:cs="Arial"/>
                <w:iCs/>
                <w:color w:val="000000" w:themeColor="text1"/>
                <w:sz w:val="20"/>
              </w:rPr>
            </w:pPr>
            <w:r w:rsidRPr="005B1EF9">
              <w:rPr>
                <w:rFonts w:ascii="Arial" w:eastAsia="Arial" w:hAnsi="Arial" w:cs="Arial"/>
                <w:b/>
                <w:iCs/>
                <w:color w:val="000000" w:themeColor="text1"/>
                <w:sz w:val="20"/>
              </w:rPr>
              <w:lastRenderedPageBreak/>
              <w:t>7.</w:t>
            </w:r>
            <w:r w:rsidRPr="003C1485">
              <w:rPr>
                <w:rFonts w:ascii="Arial" w:eastAsia="Arial" w:hAnsi="Arial" w:cs="Arial"/>
                <w:iCs/>
                <w:color w:val="000000" w:themeColor="text1"/>
                <w:sz w:val="20"/>
              </w:rPr>
              <w:t xml:space="preserve"> Providing affordable and clean energy sources for water pumps, including artesian pumps, with the goal of reducing operational costs and promoting sustainable water supply.</w:t>
            </w:r>
          </w:p>
          <w:p w14:paraId="1BAEF6CF" w14:textId="77777777" w:rsidR="00504C72" w:rsidRPr="00B4306C" w:rsidRDefault="00504C72" w:rsidP="003616F9">
            <w:pPr>
              <w:shd w:val="clear" w:color="auto" w:fill="FFFFFF"/>
              <w:jc w:val="both"/>
              <w:rPr>
                <w:rFonts w:ascii="Arial" w:eastAsia="Times New Roman" w:hAnsi="Arial" w:cs="Arial"/>
                <w:b/>
                <w:bCs/>
                <w:color w:val="212529"/>
                <w:sz w:val="20"/>
                <w:szCs w:val="20"/>
                <w:lang w:val="az-Latn-AZ"/>
              </w:rPr>
            </w:pPr>
            <w:r w:rsidRPr="002F3D71">
              <w:rPr>
                <w:rFonts w:ascii="Arial" w:eastAsia="Times New Roman" w:hAnsi="Arial" w:cs="Arial"/>
                <w:sz w:val="20"/>
                <w:szCs w:val="20"/>
                <w:lang w:val="az-Latn-AZ"/>
              </w:rPr>
              <w:t>The project presented here focuses on fostering collaboration with non-</w:t>
            </w:r>
            <w:r>
              <w:rPr>
                <w:rFonts w:ascii="Arial" w:eastAsia="Times New Roman" w:hAnsi="Arial" w:cs="Arial"/>
                <w:sz w:val="20"/>
                <w:szCs w:val="20"/>
                <w:lang w:val="az-Latn-AZ"/>
              </w:rPr>
              <w:t>governmental organizations</w:t>
            </w:r>
            <w:r w:rsidRPr="002F3D71">
              <w:rPr>
                <w:rFonts w:ascii="Arial" w:eastAsia="Times New Roman" w:hAnsi="Arial" w:cs="Arial"/>
                <w:sz w:val="20"/>
                <w:szCs w:val="20"/>
                <w:lang w:val="az-Latn-AZ"/>
              </w:rPr>
              <w:t xml:space="preserve"> to ensure the efficient and cost-effective utilization of water resources in the areas of irrigation and drinking water supply. This objective aligns with the overarching goal of achieving stability, efficiency, and safety in water usage in Azerbaijan, as highlighted in the aforementioned policy documents. </w:t>
            </w:r>
            <w:r w:rsidRPr="006A7A5B">
              <w:rPr>
                <w:rFonts w:ascii="Arial" w:eastAsia="Times New Roman" w:hAnsi="Arial" w:cs="Arial"/>
                <w:sz w:val="20"/>
                <w:szCs w:val="20"/>
                <w:lang w:val="az-Latn-AZ"/>
              </w:rPr>
              <w:t>The project objectives align with the following aims</w:t>
            </w:r>
            <w:r>
              <w:rPr>
                <w:rFonts w:ascii="Arial" w:eastAsia="Times New Roman" w:hAnsi="Arial" w:cs="Arial"/>
                <w:sz w:val="20"/>
                <w:szCs w:val="20"/>
                <w:lang w:val="az-Latn-AZ"/>
              </w:rPr>
              <w:t>:</w:t>
            </w:r>
            <w:r w:rsidRPr="002F3D71">
              <w:rPr>
                <w:rFonts w:ascii="Arial" w:eastAsia="Times New Roman" w:hAnsi="Arial" w:cs="Arial"/>
                <w:sz w:val="20"/>
                <w:szCs w:val="20"/>
                <w:lang w:val="az-Latn-AZ"/>
              </w:rPr>
              <w:t xml:space="preserve"> a) enhancing the performance of modular water treatment facilities installed in the regions to provide clean drinking water to the population; b) promoting the adoption of modern irrigation technologies by agricultural producers to improve water efficiency; c) informing the public about ongoing efforts to ensure the efficient utilization of water resources; d) educating consumers on the economical and efficient use of water for drinking water purposes; e) educating producers on the economical and efficient use of water in their operations; f) minimizing water losses and rehabilitating irrigation canals.</w:t>
            </w:r>
          </w:p>
        </w:tc>
      </w:tr>
    </w:tbl>
    <w:p w14:paraId="27D823C7" w14:textId="77777777" w:rsidR="00504C72" w:rsidRDefault="00504C72" w:rsidP="00504C72">
      <w:pPr>
        <w:jc w:val="center"/>
      </w:pPr>
    </w:p>
    <w:sectPr w:rsidR="0050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10CCC"/>
    <w:multiLevelType w:val="hybridMultilevel"/>
    <w:tmpl w:val="4EF22DF2"/>
    <w:lvl w:ilvl="0" w:tplc="ED1E24F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8045FE"/>
    <w:multiLevelType w:val="multilevel"/>
    <w:tmpl w:val="3348A3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14"/>
    <w:rsid w:val="00386545"/>
    <w:rsid w:val="00504C72"/>
    <w:rsid w:val="00C2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258E"/>
  <w15:chartTrackingRefBased/>
  <w15:docId w15:val="{75FF4AD0-3407-4219-8505-5B83EAC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04C72"/>
    <w:pPr>
      <w:spacing w:after="0" w:line="240" w:lineRule="auto"/>
    </w:pPr>
    <w:rPr>
      <w:rFonts w:eastAsiaTheme="minorEastAsia"/>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504C72"/>
    <w:pPr>
      <w:ind w:left="720"/>
      <w:contextualSpacing/>
    </w:pPr>
    <w:rPr>
      <w:rFonts w:ascii="Calibri" w:eastAsia="Calibri" w:hAnsi="Calibri" w:cs="Calibri"/>
      <w:color w:val="000000"/>
      <w:lang w:val="en-GB" w:eastAsia="en-GB"/>
    </w:rPr>
  </w:style>
  <w:style w:type="table" w:styleId="TableGrid0">
    <w:name w:val="Table Grid"/>
    <w:basedOn w:val="TableNormal"/>
    <w:uiPriority w:val="39"/>
    <w:rsid w:val="00504C7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04C72"/>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Tağıyeva</dc:creator>
  <cp:keywords/>
  <dc:description/>
  <cp:lastModifiedBy>Aynur Tağıyeva</cp:lastModifiedBy>
  <cp:revision>3</cp:revision>
  <dcterms:created xsi:type="dcterms:W3CDTF">2025-11-04T17:02:00Z</dcterms:created>
  <dcterms:modified xsi:type="dcterms:W3CDTF">2025-11-04T17:06:00Z</dcterms:modified>
</cp:coreProperties>
</file>